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A63" w:rsidRDefault="003F28F2">
      <w:pPr>
        <w:pStyle w:val="af0"/>
        <w:spacing w:line="300" w:lineRule="auto"/>
        <w:rPr>
          <w:sz w:val="36"/>
          <w:szCs w:val="36"/>
        </w:rPr>
      </w:pPr>
      <w:r>
        <w:rPr>
          <w:rFonts w:hint="eastAsia"/>
          <w:sz w:val="36"/>
          <w:szCs w:val="36"/>
        </w:rPr>
        <w:t xml:space="preserve"> </w:t>
      </w:r>
      <w:r w:rsidR="004A3D3C">
        <w:rPr>
          <w:sz w:val="36"/>
          <w:szCs w:val="36"/>
        </w:rPr>
        <w:t>中国石油化工股份有限公司茂名分公司炼油含氢干气提纯回收氢气装置</w:t>
      </w:r>
      <w:r w:rsidR="004A3D3C">
        <w:rPr>
          <w:rFonts w:hint="eastAsia"/>
          <w:sz w:val="36"/>
          <w:szCs w:val="36"/>
        </w:rPr>
        <w:t>竣工环境保护验收意见</w:t>
      </w:r>
    </w:p>
    <w:p w:rsidR="00D71A63" w:rsidRDefault="00D71A63">
      <w:pPr>
        <w:spacing w:line="360" w:lineRule="auto"/>
        <w:ind w:firstLine="600"/>
      </w:pPr>
    </w:p>
    <w:p w:rsidR="00D71A63" w:rsidRDefault="004A3D3C" w:rsidP="003F28F2">
      <w:pPr>
        <w:ind w:firstLine="600"/>
      </w:pPr>
      <w:r>
        <w:t>2025</w:t>
      </w:r>
      <w:r>
        <w:rPr>
          <w:rFonts w:hint="eastAsia"/>
        </w:rPr>
        <w:t>年6月</w:t>
      </w:r>
      <w:r>
        <w:t>2</w:t>
      </w:r>
      <w:r>
        <w:rPr>
          <w:rFonts w:hint="eastAsia"/>
        </w:rPr>
        <w:t>7日，中国石油化工股份有限公司茂名分公司成立</w:t>
      </w:r>
      <w:bookmarkStart w:id="0" w:name="OLE_LINK4"/>
      <w:bookmarkStart w:id="1" w:name="OLE_LINK3"/>
      <w:r>
        <w:rPr>
          <w:rFonts w:hint="eastAsia"/>
        </w:rPr>
        <w:t>炼油含氢干气提纯回收氢气装置</w:t>
      </w:r>
      <w:bookmarkEnd w:id="0"/>
      <w:bookmarkEnd w:id="1"/>
      <w:r>
        <w:rPr>
          <w:rFonts w:hint="eastAsia"/>
        </w:rPr>
        <w:t>竣工环境保护验收工作组，组织召开竣工环境保护验收现场检查会。验收工作组由中国石油化工股份有限公司茂名分公司（建设单位）、茂名瑞派石化工程有限公司(设计单位)、广东环科技术咨询有限公司（环评</w:t>
      </w:r>
      <w:r>
        <w:t>单位）</w:t>
      </w:r>
      <w:r>
        <w:rPr>
          <w:rFonts w:hint="eastAsia"/>
        </w:rPr>
        <w:t>、中石化第十建设有限公司（施工单位）、广东众惠环境检测有限公司（监测单位）</w:t>
      </w:r>
      <w:r>
        <w:t>的</w:t>
      </w:r>
      <w:r>
        <w:rPr>
          <w:rFonts w:hint="eastAsia"/>
        </w:rPr>
        <w:t>代表及特邀的</w:t>
      </w:r>
      <w:r>
        <w:t>3</w:t>
      </w:r>
      <w:r>
        <w:rPr>
          <w:rFonts w:hint="eastAsia"/>
        </w:rPr>
        <w:t>名专家组成。验收工作组根据《炼油含氢干气提纯回收氢气装置竣工环境保护验收监测报告表》并对照《建设项目竣工环境保护验收暂行办法》、</w:t>
      </w:r>
      <w:r>
        <w:t>《</w:t>
      </w:r>
      <w:r>
        <w:rPr>
          <w:rFonts w:hint="eastAsia"/>
        </w:rPr>
        <w:t>建设项目竣工环境保护验收技术规范 污染影响类</w:t>
      </w:r>
      <w:r>
        <w:t>》</w:t>
      </w:r>
      <w:r>
        <w:rPr>
          <w:rFonts w:hint="eastAsia"/>
        </w:rPr>
        <w:t>，严格依照国家有关法律法规、建设项目竣工环境保护验收技术规范及指南、项目环境影响报告表和批复等要求，现场核实了项目配套的废气、废水、噪声、固废等环境保护设施的建设与运行情况，查阅了相关验收资料，经认真讨论后形成了现场验收意见。验收意见如下：</w:t>
      </w:r>
    </w:p>
    <w:p w:rsidR="00D71A63" w:rsidRDefault="004A3D3C" w:rsidP="003F28F2">
      <w:pPr>
        <w:ind w:firstLine="600"/>
        <w:rPr>
          <w:rFonts w:ascii="黑体" w:eastAsia="黑体" w:hAnsi="黑体"/>
        </w:rPr>
      </w:pPr>
      <w:r>
        <w:rPr>
          <w:rFonts w:ascii="黑体" w:eastAsia="黑体" w:hAnsi="黑体" w:hint="eastAsia"/>
        </w:rPr>
        <w:t>一、工程建设的基本情况</w:t>
      </w:r>
    </w:p>
    <w:p w:rsidR="00D71A63" w:rsidRDefault="004A3D3C" w:rsidP="003F28F2">
      <w:pPr>
        <w:ind w:firstLine="602"/>
        <w:rPr>
          <w:b/>
        </w:rPr>
      </w:pPr>
      <w:r>
        <w:rPr>
          <w:rFonts w:hint="eastAsia"/>
          <w:b/>
        </w:rPr>
        <w:t>（一）建设地点、规模、主要建设内容</w:t>
      </w:r>
    </w:p>
    <w:p w:rsidR="00D71A63" w:rsidRDefault="004A3D3C" w:rsidP="003F28F2">
      <w:pPr>
        <w:ind w:firstLine="600"/>
      </w:pPr>
      <w:bookmarkStart w:id="2" w:name="_Hlk154412294"/>
      <w:r>
        <w:rPr>
          <w:rFonts w:hint="eastAsia"/>
        </w:rPr>
        <w:t>炼油含氢干气提纯回收氢气装置（以下称“项目”）由中国石</w:t>
      </w:r>
      <w:r>
        <w:rPr>
          <w:rFonts w:hint="eastAsia"/>
        </w:rPr>
        <w:lastRenderedPageBreak/>
        <w:t>油化工股份有限公司茂名分公司投资建设，位于中国石油化工股份有限公司茂名分公司炼油厂区内（经度：E110.881944°，纬度：N21.684559°）。项目采用成套的VPSA提纯技术，建设了一套公称规模为50000标立方米/小时PSA装置，原料含氢干气经提纯后产品氢气纯度可达到99.5%（mol），氢气回收率约85%（mol）。项目建筑面积2757m</w:t>
      </w:r>
      <w:r>
        <w:rPr>
          <w:rFonts w:hint="eastAsia"/>
          <w:vertAlign w:val="superscript"/>
        </w:rPr>
        <w:t>2</w:t>
      </w:r>
      <w:r>
        <w:rPr>
          <w:rFonts w:hint="eastAsia"/>
        </w:rPr>
        <w:t>，占地面积4298m</w:t>
      </w:r>
      <w:r>
        <w:rPr>
          <w:rFonts w:hint="eastAsia"/>
          <w:vertAlign w:val="superscript"/>
        </w:rPr>
        <w:t>2</w:t>
      </w:r>
      <w:r>
        <w:rPr>
          <w:rFonts w:hint="eastAsia"/>
        </w:rPr>
        <w:t>。</w:t>
      </w:r>
    </w:p>
    <w:bookmarkEnd w:id="2"/>
    <w:p w:rsidR="00D71A63" w:rsidRDefault="004A3D3C" w:rsidP="003F28F2">
      <w:pPr>
        <w:ind w:firstLine="602"/>
        <w:rPr>
          <w:b/>
        </w:rPr>
      </w:pPr>
      <w:r>
        <w:rPr>
          <w:rFonts w:hint="eastAsia"/>
          <w:b/>
        </w:rPr>
        <w:t>（二）建设过程及环保审批情况</w:t>
      </w:r>
    </w:p>
    <w:p w:rsidR="00D71A63" w:rsidRDefault="004A3D3C" w:rsidP="003F28F2">
      <w:pPr>
        <w:ind w:firstLine="600"/>
      </w:pPr>
      <w:r>
        <w:rPr>
          <w:rFonts w:hint="eastAsia"/>
        </w:rPr>
        <w:t>中国石油化工股份有限公司茂名分公司2020年8月委托广东环科技术咨询有限公司编制完成了《炼油含氢干气提纯回收氢气装置环境影响报告表》并送审，</w:t>
      </w:r>
      <w:r>
        <w:t>20</w:t>
      </w:r>
      <w:r>
        <w:rPr>
          <w:rFonts w:hint="eastAsia"/>
        </w:rPr>
        <w:t>20</w:t>
      </w:r>
      <w:r>
        <w:t>年</w:t>
      </w:r>
      <w:r>
        <w:rPr>
          <w:rFonts w:hint="eastAsia"/>
        </w:rPr>
        <w:t>8</w:t>
      </w:r>
      <w:r>
        <w:t>月</w:t>
      </w:r>
      <w:r>
        <w:rPr>
          <w:rFonts w:hint="eastAsia"/>
        </w:rPr>
        <w:t>19</w:t>
      </w:r>
      <w:r>
        <w:t>日取得</w:t>
      </w:r>
      <w:r>
        <w:rPr>
          <w:rFonts w:hint="eastAsia"/>
        </w:rPr>
        <w:t>了</w:t>
      </w:r>
      <w:r>
        <w:t>《茂名市生态环境局关于</w:t>
      </w:r>
      <w:bookmarkStart w:id="3" w:name="OLE_LINK96"/>
      <w:bookmarkStart w:id="4" w:name="OLE_LINK95"/>
      <w:r>
        <w:rPr>
          <w:rFonts w:hint="eastAsia"/>
        </w:rPr>
        <w:t>炼油含氢干气提纯回收氢气装置环境影响报告表</w:t>
      </w:r>
      <w:bookmarkEnd w:id="3"/>
      <w:bookmarkEnd w:id="4"/>
      <w:r>
        <w:t>的批复》（</w:t>
      </w:r>
      <w:r>
        <w:rPr>
          <w:rFonts w:hint="eastAsia"/>
        </w:rPr>
        <w:t>茂环审〔2020〕22号</w:t>
      </w:r>
      <w:r>
        <w:t>）。项目于202</w:t>
      </w:r>
      <w:r>
        <w:rPr>
          <w:rFonts w:hint="eastAsia"/>
        </w:rPr>
        <w:t>1</w:t>
      </w:r>
      <w:r>
        <w:t>年10月开始建设，2024年</w:t>
      </w:r>
      <w:r>
        <w:rPr>
          <w:rFonts w:hint="eastAsia"/>
        </w:rPr>
        <w:t>9</w:t>
      </w:r>
      <w:r>
        <w:t>月竣工</w:t>
      </w:r>
      <w:r>
        <w:rPr>
          <w:rFonts w:hint="eastAsia"/>
        </w:rPr>
        <w:t>并投入调试</w:t>
      </w:r>
      <w:r>
        <w:t>，目前厂内设备装置运行稳定，已具备验收条件。</w:t>
      </w:r>
    </w:p>
    <w:p w:rsidR="00D71A63" w:rsidRDefault="004A3D3C" w:rsidP="003F28F2">
      <w:pPr>
        <w:ind w:firstLine="600"/>
      </w:pPr>
      <w:r>
        <w:rPr>
          <w:rFonts w:hint="eastAsia"/>
        </w:rPr>
        <w:t>中国石油化工股份有限公司茂名分公司委托广东众惠环境检测有限公司开展验收监测和编制验收监测报告</w:t>
      </w:r>
      <w:r>
        <w:t>表</w:t>
      </w:r>
      <w:r>
        <w:rPr>
          <w:rFonts w:hint="eastAsia"/>
        </w:rPr>
        <w:t>。</w:t>
      </w:r>
    </w:p>
    <w:p w:rsidR="00D71A63" w:rsidRDefault="004A3D3C" w:rsidP="003F28F2">
      <w:pPr>
        <w:ind w:firstLine="602"/>
        <w:rPr>
          <w:b/>
        </w:rPr>
      </w:pPr>
      <w:r>
        <w:rPr>
          <w:rFonts w:hint="eastAsia"/>
          <w:b/>
        </w:rPr>
        <w:t>（三）投资情况</w:t>
      </w:r>
    </w:p>
    <w:p w:rsidR="00D71A63" w:rsidRDefault="004A3D3C" w:rsidP="003F28F2">
      <w:pPr>
        <w:ind w:firstLine="600"/>
      </w:pPr>
      <w:r>
        <w:rPr>
          <w:rFonts w:hint="eastAsia"/>
        </w:rPr>
        <w:t>根据《炼油含氢干气提纯回收氢气装置</w:t>
      </w:r>
      <w:r>
        <w:t>环境影响报告</w:t>
      </w:r>
      <w:r>
        <w:rPr>
          <w:rFonts w:hint="eastAsia"/>
        </w:rPr>
        <w:t>表》,项目预计总投资15931万元，其中环保投资成本320万元，环保投资占总投资的2.01%，项目实际总投资15583.36万元，其中环保投资320万元，环保投资占总投资的2.05%。</w:t>
      </w:r>
    </w:p>
    <w:p w:rsidR="00D71A63" w:rsidRDefault="004A3D3C" w:rsidP="003F28F2">
      <w:pPr>
        <w:ind w:firstLine="602"/>
        <w:rPr>
          <w:b/>
        </w:rPr>
      </w:pPr>
      <w:r>
        <w:rPr>
          <w:rFonts w:hint="eastAsia"/>
          <w:b/>
        </w:rPr>
        <w:lastRenderedPageBreak/>
        <w:t>（四）验收范围</w:t>
      </w:r>
    </w:p>
    <w:p w:rsidR="00D71A63" w:rsidRDefault="004A3D3C" w:rsidP="003F28F2">
      <w:pPr>
        <w:ind w:firstLine="600"/>
      </w:pPr>
      <w:r>
        <w:rPr>
          <w:rFonts w:hint="eastAsia"/>
        </w:rPr>
        <w:t>本次验收范围为废气、废水、噪声</w:t>
      </w:r>
      <w:r>
        <w:t>、</w:t>
      </w:r>
      <w:r>
        <w:rPr>
          <w:rFonts w:hint="eastAsia"/>
        </w:rPr>
        <w:t>固废</w:t>
      </w:r>
      <w:r>
        <w:t>等</w:t>
      </w:r>
      <w:r>
        <w:rPr>
          <w:rFonts w:hint="eastAsia"/>
        </w:rPr>
        <w:t>环境保护设施。</w:t>
      </w:r>
    </w:p>
    <w:p w:rsidR="00D71A63" w:rsidRDefault="004A3D3C" w:rsidP="003F28F2">
      <w:pPr>
        <w:ind w:firstLine="600"/>
        <w:rPr>
          <w:rFonts w:ascii="黑体" w:eastAsia="黑体" w:hAnsi="黑体"/>
        </w:rPr>
      </w:pPr>
      <w:r>
        <w:rPr>
          <w:rFonts w:ascii="黑体" w:eastAsia="黑体" w:hAnsi="黑体" w:hint="eastAsia"/>
        </w:rPr>
        <w:t>二、项目变动情况</w:t>
      </w:r>
    </w:p>
    <w:p w:rsidR="00D71A63" w:rsidRDefault="004A3D3C" w:rsidP="003F28F2">
      <w:pPr>
        <w:ind w:firstLine="600"/>
      </w:pPr>
      <w:r w:rsidRPr="00642F85">
        <w:rPr>
          <w:rFonts w:hint="eastAsia"/>
          <w:lang w:bidi="ar"/>
        </w:rPr>
        <w:t>本项目</w:t>
      </w:r>
      <w:r>
        <w:rPr>
          <w:lang w:bidi="ar"/>
        </w:rPr>
        <w:t>性质、</w:t>
      </w:r>
      <w:r w:rsidRPr="00642F85">
        <w:rPr>
          <w:rFonts w:hint="eastAsia"/>
          <w:lang w:bidi="ar"/>
        </w:rPr>
        <w:t>规模、地点、生产工艺、环境保护措施与环评基本一致，但实际建设中部分内容发生变化，</w:t>
      </w:r>
      <w:r>
        <w:rPr>
          <w:lang w:bidi="ar"/>
        </w:rPr>
        <w:t>变动情况如下：</w:t>
      </w:r>
      <w:r>
        <w:rPr>
          <w:rFonts w:hint="eastAsia"/>
        </w:rPr>
        <w:t>（</w:t>
      </w:r>
      <w:r>
        <w:t>1）考虑针焦干气的氢含量很低，回收价值不高，取消针状焦脱硫干气接入本装置流程；（2）因润滑油基础油产品结构调整改造项目暂缓建设，取消100万吨润滑油加氢干气接入本装置流程。</w:t>
      </w:r>
    </w:p>
    <w:p w:rsidR="00D71A63" w:rsidRDefault="004A3D3C" w:rsidP="003F28F2">
      <w:pPr>
        <w:ind w:firstLine="600"/>
      </w:pPr>
      <w:r>
        <w:rPr>
          <w:rFonts w:hint="eastAsia"/>
        </w:rPr>
        <w:t>根据《石油炼制与石油化工建设项目重大变动清单（试行）》（环办〔2015〕52号），</w:t>
      </w:r>
      <w:r>
        <w:t>本项目变动内容</w:t>
      </w:r>
      <w:r>
        <w:rPr>
          <w:rFonts w:hint="eastAsia"/>
        </w:rPr>
        <w:t>不</w:t>
      </w:r>
      <w:r>
        <w:t>属于</w:t>
      </w:r>
      <w:r>
        <w:rPr>
          <w:rFonts w:hint="eastAsia"/>
        </w:rPr>
        <w:t>重大变动。</w:t>
      </w:r>
    </w:p>
    <w:p w:rsidR="00D71A63" w:rsidRDefault="004A3D3C" w:rsidP="003F28F2">
      <w:pPr>
        <w:ind w:firstLine="600"/>
        <w:rPr>
          <w:rFonts w:ascii="黑体" w:eastAsia="黑体" w:hAnsi="黑体"/>
        </w:rPr>
      </w:pPr>
      <w:r>
        <w:rPr>
          <w:rFonts w:ascii="黑体" w:eastAsia="黑体" w:hAnsi="黑体" w:hint="eastAsia"/>
        </w:rPr>
        <w:t>三、环境保护设施建设情况</w:t>
      </w:r>
    </w:p>
    <w:p w:rsidR="00D71A63" w:rsidRDefault="004A3D3C" w:rsidP="003F28F2">
      <w:pPr>
        <w:ind w:firstLine="602"/>
        <w:rPr>
          <w:b/>
        </w:rPr>
      </w:pPr>
      <w:r>
        <w:rPr>
          <w:rFonts w:hint="eastAsia"/>
          <w:b/>
        </w:rPr>
        <w:t>（一）废气</w:t>
      </w:r>
    </w:p>
    <w:p w:rsidR="00D71A63" w:rsidRDefault="004A3D3C" w:rsidP="003F28F2">
      <w:pPr>
        <w:ind w:firstLine="600"/>
      </w:pPr>
      <w:bookmarkStart w:id="5" w:name="_Hlk175649996"/>
      <w:r>
        <w:rPr>
          <w:rFonts w:hint="eastAsia"/>
        </w:rPr>
        <w:t>产排情况：项目废气主要为装置动静设备密封点泄漏产生的无组织烃类废气。</w:t>
      </w:r>
    </w:p>
    <w:p w:rsidR="00D71A63" w:rsidRDefault="004A3D3C" w:rsidP="003F28F2">
      <w:pPr>
        <w:ind w:firstLine="600"/>
      </w:pPr>
      <w:r>
        <w:rPr>
          <w:rFonts w:hint="eastAsia"/>
        </w:rPr>
        <w:t>治理措施：通过选用优质管件、阀门产品，尽量避免“跑、冒、滴、漏”现象；纳入LDAR泄漏检测和修复系统管理。</w:t>
      </w:r>
    </w:p>
    <w:bookmarkEnd w:id="5"/>
    <w:p w:rsidR="00D71A63" w:rsidRDefault="004A3D3C" w:rsidP="003F28F2">
      <w:pPr>
        <w:ind w:firstLine="602"/>
        <w:rPr>
          <w:b/>
        </w:rPr>
      </w:pPr>
      <w:r>
        <w:rPr>
          <w:rFonts w:hint="eastAsia"/>
          <w:b/>
        </w:rPr>
        <w:t>（二）废水</w:t>
      </w:r>
    </w:p>
    <w:p w:rsidR="00D71A63" w:rsidRDefault="004A3D3C" w:rsidP="003F28F2">
      <w:pPr>
        <w:ind w:firstLine="600"/>
      </w:pPr>
      <w:bookmarkStart w:id="6" w:name="_Hlk175650095"/>
      <w:r>
        <w:rPr>
          <w:rFonts w:hint="eastAsia"/>
        </w:rPr>
        <w:t>产排情况：项目劳动定员由企业内部调剂统筹安排，不新增员工的生活污水。本项目废水主要为装置区初期雨水及地面冲冼水。</w:t>
      </w:r>
    </w:p>
    <w:p w:rsidR="00D71A63" w:rsidRDefault="004A3D3C" w:rsidP="003F28F2">
      <w:pPr>
        <w:ind w:firstLine="600"/>
      </w:pPr>
      <w:r>
        <w:rPr>
          <w:rFonts w:hint="eastAsia"/>
        </w:rPr>
        <w:t>治理措施：经新建的含油污水提升池收集后，泵至含油污水系统管道，输送至炼油</w:t>
      </w:r>
      <w:r>
        <w:t>厂区</w:t>
      </w:r>
      <w:r>
        <w:rPr>
          <w:rFonts w:hint="eastAsia"/>
        </w:rPr>
        <w:t>低浓度污水处理场处理后回用于循环水场</w:t>
      </w:r>
      <w:r>
        <w:rPr>
          <w:rFonts w:hint="eastAsia"/>
        </w:rPr>
        <w:lastRenderedPageBreak/>
        <w:t>补水，不外排。</w:t>
      </w:r>
    </w:p>
    <w:bookmarkEnd w:id="6"/>
    <w:p w:rsidR="00D71A63" w:rsidRDefault="004A3D3C" w:rsidP="003F28F2">
      <w:pPr>
        <w:ind w:firstLine="602"/>
        <w:rPr>
          <w:b/>
        </w:rPr>
      </w:pPr>
      <w:r>
        <w:rPr>
          <w:rFonts w:hint="eastAsia"/>
          <w:b/>
        </w:rPr>
        <w:t>（三）噪声</w:t>
      </w:r>
    </w:p>
    <w:p w:rsidR="00D71A63" w:rsidRDefault="004A3D3C" w:rsidP="003F28F2">
      <w:pPr>
        <w:ind w:firstLine="600"/>
      </w:pPr>
      <w:bookmarkStart w:id="7" w:name="_Hlk175650169"/>
      <w:r>
        <w:rPr>
          <w:rFonts w:hint="eastAsia"/>
        </w:rPr>
        <w:t>产排情况：项目主要噪声源为压缩机组、真空泵、高速气流与管道磨擦发生的噪声等。</w:t>
      </w:r>
    </w:p>
    <w:p w:rsidR="00D71A63" w:rsidRDefault="004A3D3C" w:rsidP="003F28F2">
      <w:pPr>
        <w:ind w:firstLine="600"/>
      </w:pPr>
      <w:r>
        <w:rPr>
          <w:rFonts w:hint="eastAsia"/>
        </w:rPr>
        <w:t>治理措施：选用低噪声的机泵、压缩机，基础减震，防降噪保温材料等降噪隔声措施。</w:t>
      </w:r>
    </w:p>
    <w:bookmarkEnd w:id="7"/>
    <w:p w:rsidR="00D71A63" w:rsidRDefault="004A3D3C" w:rsidP="003F28F2">
      <w:pPr>
        <w:ind w:firstLine="602"/>
        <w:rPr>
          <w:b/>
        </w:rPr>
      </w:pPr>
      <w:r>
        <w:rPr>
          <w:rFonts w:hint="eastAsia"/>
          <w:b/>
        </w:rPr>
        <w:t>（四）固体</w:t>
      </w:r>
      <w:r>
        <w:rPr>
          <w:b/>
        </w:rPr>
        <w:t>废物</w:t>
      </w:r>
    </w:p>
    <w:p w:rsidR="00D71A63" w:rsidRDefault="004A3D3C" w:rsidP="003F28F2">
      <w:pPr>
        <w:ind w:firstLine="600"/>
      </w:pPr>
      <w:r>
        <w:rPr>
          <w:rFonts w:hint="eastAsia"/>
        </w:rPr>
        <w:t>产排情况：本项目正常生产时无固体废物产生，仅在装置停工检修时，会产生废吸附剂。</w:t>
      </w:r>
    </w:p>
    <w:p w:rsidR="00D71A63" w:rsidRDefault="004A3D3C" w:rsidP="003F28F2">
      <w:pPr>
        <w:ind w:firstLine="600"/>
      </w:pPr>
      <w:r>
        <w:rPr>
          <w:rFonts w:hint="eastAsia"/>
        </w:rPr>
        <w:t>治理措施：装置停工检修产生的废吸附剂进入茂石化炼油分部现有危废暂存</w:t>
      </w:r>
      <w:r>
        <w:t>库</w:t>
      </w:r>
      <w:r>
        <w:rPr>
          <w:rFonts w:hint="eastAsia"/>
        </w:rPr>
        <w:t>暂存，定期委托有资质单位处置。</w:t>
      </w:r>
    </w:p>
    <w:p w:rsidR="00D71A63" w:rsidRDefault="004A3D3C" w:rsidP="003F28F2">
      <w:pPr>
        <w:ind w:firstLine="600"/>
        <w:rPr>
          <w:rFonts w:ascii="黑体" w:eastAsia="黑体" w:hAnsi="黑体"/>
        </w:rPr>
      </w:pPr>
      <w:r>
        <w:rPr>
          <w:rFonts w:ascii="黑体" w:eastAsia="黑体" w:hAnsi="黑体" w:hint="eastAsia"/>
        </w:rPr>
        <w:t>四、环境保护设施调试效果</w:t>
      </w:r>
    </w:p>
    <w:p w:rsidR="00D71A63" w:rsidRDefault="004A3D3C" w:rsidP="003F28F2">
      <w:pPr>
        <w:ind w:firstLine="602"/>
        <w:rPr>
          <w:b/>
        </w:rPr>
      </w:pPr>
      <w:r>
        <w:rPr>
          <w:rFonts w:hint="eastAsia"/>
          <w:b/>
        </w:rPr>
        <w:t>（一）废气污染物达标排放情况</w:t>
      </w:r>
    </w:p>
    <w:p w:rsidR="00D71A63" w:rsidRDefault="004A3D3C" w:rsidP="003F28F2">
      <w:pPr>
        <w:ind w:firstLine="600"/>
      </w:pPr>
      <w:r>
        <w:rPr>
          <w:rFonts w:hint="eastAsia"/>
        </w:rPr>
        <w:t>监测结果表明，厂界无组织排放的非甲烷总烃满足《石油炼制工业污染物排放标准》（GB31570-2015</w:t>
      </w:r>
      <w:r>
        <w:t>，含2024年修改单</w:t>
      </w:r>
      <w:r>
        <w:rPr>
          <w:rFonts w:hint="eastAsia"/>
        </w:rPr>
        <w:t>）表5企业边界大气污染物浓度限值，厂内无组织排放的非甲烷总烃满足《固定污染源挥发性有机物综合排放标准》（DB44/2367-2022）表3厂区内VOCs无组织排放限值。</w:t>
      </w:r>
    </w:p>
    <w:p w:rsidR="00D71A63" w:rsidRDefault="004A3D3C" w:rsidP="003F28F2">
      <w:pPr>
        <w:ind w:firstLine="602"/>
        <w:rPr>
          <w:b/>
        </w:rPr>
      </w:pPr>
      <w:r>
        <w:rPr>
          <w:rFonts w:hint="eastAsia"/>
          <w:b/>
        </w:rPr>
        <w:t>（二）废水污染物达标排放情况</w:t>
      </w:r>
    </w:p>
    <w:p w:rsidR="00D71A63" w:rsidRDefault="004A3D3C" w:rsidP="003F28F2">
      <w:pPr>
        <w:ind w:firstLine="600"/>
      </w:pPr>
      <w:r>
        <w:rPr>
          <w:rFonts w:hint="eastAsia"/>
        </w:rPr>
        <w:t>监测结果表明，含油污水提升池出口废水排放浓度符合中国石油化工股份有限公司茂名分公司炼油</w:t>
      </w:r>
      <w:r>
        <w:t>厂区</w:t>
      </w:r>
      <w:r>
        <w:rPr>
          <w:rFonts w:hint="eastAsia"/>
        </w:rPr>
        <w:t>低浓度污水处理系统的进</w:t>
      </w:r>
      <w:r>
        <w:rPr>
          <w:rFonts w:hint="eastAsia"/>
        </w:rPr>
        <w:lastRenderedPageBreak/>
        <w:t>水水质标准，炼油</w:t>
      </w:r>
      <w:r>
        <w:t>厂区</w:t>
      </w:r>
      <w:r>
        <w:rPr>
          <w:rFonts w:hint="eastAsia"/>
        </w:rPr>
        <w:t>低浓度污水处理场出口排放浓度符合低浓度污水处理场设计出水水质标准要求。</w:t>
      </w:r>
    </w:p>
    <w:p w:rsidR="00D71A63" w:rsidRDefault="004A3D3C" w:rsidP="003F28F2">
      <w:pPr>
        <w:ind w:firstLine="602"/>
        <w:rPr>
          <w:b/>
        </w:rPr>
      </w:pPr>
      <w:r>
        <w:rPr>
          <w:rFonts w:hint="eastAsia"/>
          <w:b/>
        </w:rPr>
        <w:t>（三）噪声污染物达标排放情况</w:t>
      </w:r>
    </w:p>
    <w:p w:rsidR="00D71A63" w:rsidRDefault="004A3D3C" w:rsidP="003F28F2">
      <w:pPr>
        <w:ind w:firstLine="600"/>
      </w:pPr>
      <w:bookmarkStart w:id="8" w:name="_Hlk154410785"/>
      <w:r>
        <w:rPr>
          <w:rFonts w:hint="eastAsia"/>
        </w:rPr>
        <w:t>监测结果表明，项目南侧厂界噪声排放情况满足《工业企业厂界环境噪声排放标准》（GB12348-2008）中的4类标准限值，其余厂界噪声排放情况满足《工业企业厂界环境噪声排放标准》（GB12348-2008）中的3类标准限值。</w:t>
      </w:r>
    </w:p>
    <w:bookmarkEnd w:id="8"/>
    <w:p w:rsidR="00D71A63" w:rsidRDefault="004A3D3C" w:rsidP="003F28F2">
      <w:pPr>
        <w:ind w:firstLine="602"/>
        <w:rPr>
          <w:b/>
        </w:rPr>
      </w:pPr>
      <w:r>
        <w:rPr>
          <w:rFonts w:hint="eastAsia"/>
          <w:b/>
        </w:rPr>
        <w:t>（四）固体</w:t>
      </w:r>
      <w:r>
        <w:rPr>
          <w:b/>
        </w:rPr>
        <w:t>废物</w:t>
      </w:r>
      <w:r>
        <w:rPr>
          <w:rFonts w:hint="eastAsia"/>
          <w:b/>
        </w:rPr>
        <w:t>环境</w:t>
      </w:r>
      <w:r>
        <w:rPr>
          <w:b/>
        </w:rPr>
        <w:t>影响</w:t>
      </w:r>
      <w:r>
        <w:rPr>
          <w:rFonts w:hint="eastAsia"/>
          <w:b/>
        </w:rPr>
        <w:t>情况</w:t>
      </w:r>
    </w:p>
    <w:p w:rsidR="00D71A63" w:rsidRDefault="004A3D3C" w:rsidP="003F28F2">
      <w:pPr>
        <w:ind w:firstLine="600"/>
      </w:pPr>
      <w:r>
        <w:rPr>
          <w:rFonts w:hint="eastAsia"/>
        </w:rPr>
        <w:t>项目的危险废物暂存情况满足《危险废物贮存污染控制标准》（GB18597-2023）的标准要求，一般固体废物处置情况满足《一般工业固体废物贮存和填埋污染控制标准》（GB18599-2020）的有关规定。</w:t>
      </w:r>
    </w:p>
    <w:p w:rsidR="00D71A63" w:rsidRDefault="004A3D3C" w:rsidP="003F28F2">
      <w:pPr>
        <w:ind w:firstLine="602"/>
        <w:rPr>
          <w:b/>
        </w:rPr>
      </w:pPr>
      <w:r>
        <w:rPr>
          <w:rFonts w:hint="eastAsia"/>
          <w:b/>
        </w:rPr>
        <w:t>（五）污染物排放总量</w:t>
      </w:r>
    </w:p>
    <w:p w:rsidR="00D71A63" w:rsidRDefault="004A3D3C" w:rsidP="003F28F2">
      <w:pPr>
        <w:ind w:firstLine="600"/>
      </w:pPr>
      <w:r>
        <w:rPr>
          <w:rFonts w:hint="eastAsia"/>
        </w:rPr>
        <w:t>本项目废气主要为装置动静设备密封点泄漏产生的无组织烃类废气，根据项目环境影响报告表及其批复，无需申请废气总量控制指标。项目含油污水经新建的含油污水提升池收集后，泵至含油污水系统管道，输送至炼油厂区低浓度污水处理场处理后回用于循环水场补水，不外排，不单独申请废水总量控制指标，符合环评总量控制要求。</w:t>
      </w:r>
    </w:p>
    <w:p w:rsidR="00D71A63" w:rsidRDefault="004A3D3C" w:rsidP="003F28F2">
      <w:pPr>
        <w:ind w:firstLine="600"/>
        <w:rPr>
          <w:rFonts w:ascii="黑体" w:eastAsia="黑体" w:hAnsi="黑体"/>
        </w:rPr>
      </w:pPr>
      <w:r>
        <w:rPr>
          <w:rFonts w:ascii="黑体" w:eastAsia="黑体" w:hAnsi="黑体" w:hint="eastAsia"/>
        </w:rPr>
        <w:t>五、工程建设对环境的影响</w:t>
      </w:r>
    </w:p>
    <w:p w:rsidR="00D71A63" w:rsidRDefault="004A3D3C" w:rsidP="003F28F2">
      <w:pPr>
        <w:ind w:firstLine="600"/>
      </w:pPr>
      <w:r>
        <w:rPr>
          <w:rFonts w:hint="eastAsia"/>
        </w:rPr>
        <w:t>本项目废水、废气、噪声、固体废物，经采取相应环保措施后</w:t>
      </w:r>
      <w:r>
        <w:rPr>
          <w:rFonts w:hint="eastAsia"/>
        </w:rPr>
        <w:lastRenderedPageBreak/>
        <w:t>实现达标排放或综合利用，对周围环境影响较小。</w:t>
      </w:r>
    </w:p>
    <w:p w:rsidR="00D71A63" w:rsidRDefault="004A3D3C" w:rsidP="003F28F2">
      <w:pPr>
        <w:ind w:firstLine="600"/>
        <w:rPr>
          <w:rFonts w:ascii="黑体" w:eastAsia="黑体" w:hAnsi="黑体"/>
        </w:rPr>
      </w:pPr>
      <w:r>
        <w:rPr>
          <w:rFonts w:ascii="黑体" w:eastAsia="黑体" w:hAnsi="黑体" w:hint="eastAsia"/>
        </w:rPr>
        <w:t>六、验收结论</w:t>
      </w:r>
    </w:p>
    <w:p w:rsidR="00D71A63" w:rsidRDefault="004A3D3C" w:rsidP="003F28F2">
      <w:pPr>
        <w:pStyle w:val="a0"/>
        <w:ind w:firstLine="600"/>
      </w:pPr>
      <w:r>
        <w:rPr>
          <w:rFonts w:hint="eastAsia"/>
        </w:rPr>
        <w:t>炼油含氢干气提纯回收氢气装置在实际建设过程中，按环境影响评价文件及其批复要求落实了相应的环境保护措施，</w:t>
      </w:r>
      <w:r>
        <w:t>验收合格，同意主体工程正式投入运营</w:t>
      </w:r>
      <w:r>
        <w:rPr>
          <w:rFonts w:hint="eastAsia"/>
        </w:rPr>
        <w:t>。</w:t>
      </w:r>
    </w:p>
    <w:p w:rsidR="00D71A63" w:rsidRDefault="004A3D3C" w:rsidP="003F28F2">
      <w:pPr>
        <w:ind w:firstLine="600"/>
        <w:rPr>
          <w:rFonts w:ascii="黑体" w:eastAsia="黑体" w:hAnsi="黑体"/>
        </w:rPr>
      </w:pPr>
      <w:r>
        <w:rPr>
          <w:rFonts w:ascii="黑体" w:eastAsia="黑体" w:hAnsi="黑体" w:hint="eastAsia"/>
        </w:rPr>
        <w:t>七、后续要求</w:t>
      </w:r>
    </w:p>
    <w:p w:rsidR="00D71A63" w:rsidRDefault="004A3D3C" w:rsidP="003F28F2">
      <w:pPr>
        <w:pStyle w:val="a0"/>
        <w:ind w:firstLine="600"/>
      </w:pPr>
      <w:r>
        <w:rPr>
          <w:rFonts w:hint="eastAsia"/>
        </w:rPr>
        <w:t>（一）加强环境设施维护与管理，确保污染物长期稳定达标排放；</w:t>
      </w:r>
    </w:p>
    <w:p w:rsidR="00D71A63" w:rsidRDefault="004A3D3C" w:rsidP="003F28F2">
      <w:pPr>
        <w:pStyle w:val="a0"/>
        <w:ind w:firstLine="600"/>
      </w:pPr>
      <w:r>
        <w:rPr>
          <w:rFonts w:hint="eastAsia"/>
        </w:rPr>
        <w:t>（二）按证依法排污，接受生态环境主管部门的监督管理。</w:t>
      </w:r>
    </w:p>
    <w:p w:rsidR="00D71A63" w:rsidRDefault="004A3D3C" w:rsidP="003F28F2">
      <w:pPr>
        <w:ind w:firstLine="600"/>
        <w:rPr>
          <w:rFonts w:ascii="黑体" w:eastAsia="黑体" w:hAnsi="黑体"/>
        </w:rPr>
      </w:pPr>
      <w:r>
        <w:rPr>
          <w:rFonts w:ascii="黑体" w:eastAsia="黑体" w:hAnsi="黑体" w:hint="eastAsia"/>
        </w:rPr>
        <w:t>八、验收人员信息</w:t>
      </w:r>
    </w:p>
    <w:p w:rsidR="00D71A63" w:rsidRDefault="004A3D3C" w:rsidP="003F28F2">
      <w:pPr>
        <w:pStyle w:val="a0"/>
        <w:ind w:firstLine="600"/>
      </w:pPr>
      <w:r>
        <w:rPr>
          <w:rFonts w:hint="eastAsia"/>
        </w:rPr>
        <w:t>详见附表。</w:t>
      </w:r>
    </w:p>
    <w:p w:rsidR="00D71A63" w:rsidRDefault="00D71A63" w:rsidP="003F28F2">
      <w:pPr>
        <w:pStyle w:val="a0"/>
        <w:ind w:firstLine="600"/>
      </w:pPr>
    </w:p>
    <w:p w:rsidR="00D71A63" w:rsidRDefault="004A3D3C" w:rsidP="003F28F2">
      <w:pPr>
        <w:pStyle w:val="a0"/>
        <w:ind w:firstLine="600"/>
        <w:jc w:val="right"/>
      </w:pPr>
      <w:r>
        <w:rPr>
          <w:rFonts w:hint="eastAsia"/>
        </w:rPr>
        <w:t>中国石油化工股份有限公司茂名分公司</w:t>
      </w:r>
    </w:p>
    <w:p w:rsidR="00D71A63" w:rsidRDefault="004A3D3C" w:rsidP="003F28F2">
      <w:pPr>
        <w:pStyle w:val="a0"/>
        <w:ind w:firstLine="600"/>
        <w:jc w:val="right"/>
      </w:pPr>
      <w:r>
        <w:rPr>
          <w:rFonts w:hint="eastAsia"/>
        </w:rPr>
        <w:t>2</w:t>
      </w:r>
      <w:r>
        <w:t>025</w:t>
      </w:r>
      <w:r>
        <w:rPr>
          <w:rFonts w:hint="eastAsia"/>
        </w:rPr>
        <w:t>年</w:t>
      </w:r>
      <w:r>
        <w:rPr>
          <w:rFonts w:hint="eastAsia"/>
        </w:rPr>
        <w:t>6</w:t>
      </w:r>
      <w:r>
        <w:rPr>
          <w:rFonts w:hint="eastAsia"/>
        </w:rPr>
        <w:t>月</w:t>
      </w:r>
      <w:r>
        <w:t>27</w:t>
      </w:r>
      <w:r>
        <w:rPr>
          <w:rFonts w:hint="eastAsia"/>
        </w:rPr>
        <w:t>日</w:t>
      </w:r>
    </w:p>
    <w:p w:rsidR="00D71A63" w:rsidRDefault="00D71A63">
      <w:pPr>
        <w:pStyle w:val="a0"/>
        <w:ind w:firstLine="600"/>
      </w:pPr>
    </w:p>
    <w:p w:rsidR="00D71A63" w:rsidRDefault="00D71A63">
      <w:pPr>
        <w:pStyle w:val="af6"/>
        <w:ind w:firstLineChars="0" w:firstLine="0"/>
        <w:sectPr w:rsidR="00D71A63">
          <w:headerReference w:type="even" r:id="rId7"/>
          <w:headerReference w:type="default" r:id="rId8"/>
          <w:footerReference w:type="even" r:id="rId9"/>
          <w:footerReference w:type="default" r:id="rId10"/>
          <w:headerReference w:type="first" r:id="rId11"/>
          <w:footerReference w:type="first" r:id="rId12"/>
          <w:pgSz w:w="11906" w:h="16838"/>
          <w:pgMar w:top="1985" w:right="1588" w:bottom="1985" w:left="1588" w:header="851" w:footer="992" w:gutter="0"/>
          <w:cols w:space="425"/>
          <w:docGrid w:type="lines" w:linePitch="408"/>
        </w:sectPr>
      </w:pPr>
    </w:p>
    <w:p w:rsidR="00D71A63" w:rsidRDefault="00A73058" w:rsidP="0030122A">
      <w:pPr>
        <w:ind w:firstLineChars="0" w:firstLine="0"/>
        <w:jc w:val="center"/>
      </w:pPr>
      <w:bookmarkStart w:id="9" w:name="_GoBack"/>
      <w:bookmarkEnd w:id="9"/>
      <w:r>
        <w:rPr>
          <w:noProof/>
        </w:rPr>
        <w:lastRenderedPageBreak/>
        <w:drawing>
          <wp:anchor distT="0" distB="0" distL="114300" distR="114300" simplePos="0" relativeHeight="251658240" behindDoc="0" locked="0" layoutInCell="1" allowOverlap="1">
            <wp:simplePos x="914400" y="-3949430"/>
            <wp:positionH relativeFrom="margin">
              <wp:align>center</wp:align>
            </wp:positionH>
            <wp:positionV relativeFrom="margin">
              <wp:align>center</wp:align>
            </wp:positionV>
            <wp:extent cx="8863330" cy="4932014"/>
            <wp:effectExtent l="0" t="0" r="0" b="2540"/>
            <wp:wrapSquare wrapText="bothSides"/>
            <wp:docPr id="3" name="图片 3" descr="C:\Users\Administrator\Documents\Tencent Files\1137759973\nt_qq\nt_data\Pic\2025-07\Ori\94da62b9aad63aac051ca895a07489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ocuments\Tencent Files\1137759973\nt_qq\nt_data\Pic\2025-07\Ori\94da62b9aad63aac051ca895a07489c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63330" cy="4932014"/>
                    </a:xfrm>
                    <a:prstGeom prst="rect">
                      <a:avLst/>
                    </a:prstGeom>
                    <a:noFill/>
                    <a:ln>
                      <a:noFill/>
                    </a:ln>
                  </pic:spPr>
                </pic:pic>
              </a:graphicData>
            </a:graphic>
          </wp:anchor>
        </w:drawing>
      </w:r>
    </w:p>
    <w:sectPr w:rsidR="00D71A63">
      <w:pgSz w:w="16838" w:h="11906" w:orient="landscape"/>
      <w:pgMar w:top="1066" w:right="1440" w:bottom="1066" w:left="1440" w:header="454" w:footer="510" w:gutter="0"/>
      <w:cols w:space="425"/>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E18" w:rsidRDefault="00494E18">
      <w:pPr>
        <w:spacing w:line="240" w:lineRule="auto"/>
        <w:ind w:firstLine="600"/>
      </w:pPr>
      <w:r>
        <w:separator/>
      </w:r>
    </w:p>
  </w:endnote>
  <w:endnote w:type="continuationSeparator" w:id="0">
    <w:p w:rsidR="00494E18" w:rsidRDefault="00494E18">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大标宋简体">
    <w:altName w:val="微软雅黑"/>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A63" w:rsidRDefault="00D71A63">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4160194"/>
    </w:sdtPr>
    <w:sdtEndPr/>
    <w:sdtContent>
      <w:p w:rsidR="00D71A63" w:rsidRDefault="004A3D3C">
        <w:pPr>
          <w:pStyle w:val="ac"/>
          <w:ind w:firstLine="360"/>
          <w:jc w:val="center"/>
        </w:pPr>
        <w:r>
          <w:rPr>
            <w:rFonts w:hint="eastAsia"/>
          </w:rPr>
          <w:t>第</w:t>
        </w:r>
        <w:r>
          <w:fldChar w:fldCharType="begin"/>
        </w:r>
        <w:r>
          <w:instrText>PAGE   \* MERGEFORMAT</w:instrText>
        </w:r>
        <w:r>
          <w:fldChar w:fldCharType="separate"/>
        </w:r>
        <w:r w:rsidR="003F28F2" w:rsidRPr="003F28F2">
          <w:rPr>
            <w:noProof/>
            <w:lang w:val="zh-CN"/>
          </w:rPr>
          <w:t>7</w:t>
        </w:r>
        <w:r>
          <w:fldChar w:fldCharType="end"/>
        </w:r>
        <w:r>
          <w:rPr>
            <w:rFonts w:hint="eastAsia"/>
          </w:rPr>
          <w:t>页 共7页</w:t>
        </w:r>
      </w:p>
    </w:sdtContent>
  </w:sdt>
  <w:p w:rsidR="00D71A63" w:rsidRDefault="00D71A63">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A63" w:rsidRDefault="00D71A63">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E18" w:rsidRDefault="00494E18">
      <w:pPr>
        <w:spacing w:line="240" w:lineRule="auto"/>
        <w:ind w:firstLine="600"/>
      </w:pPr>
      <w:r>
        <w:separator/>
      </w:r>
    </w:p>
  </w:footnote>
  <w:footnote w:type="continuationSeparator" w:id="0">
    <w:p w:rsidR="00494E18" w:rsidRDefault="00494E18">
      <w:pPr>
        <w:spacing w:line="240" w:lineRule="auto"/>
        <w:ind w:firstLine="6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A63" w:rsidRDefault="00D71A63">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A63" w:rsidRDefault="00D71A63">
    <w:pPr>
      <w:ind w:firstLineChars="0" w:firstLine="0"/>
      <w:rPr>
        <w:sz w:val="15"/>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A63" w:rsidRDefault="00D71A63">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4A27"/>
    <w:multiLevelType w:val="multilevel"/>
    <w:tmpl w:val="0EE64A27"/>
    <w:lvl w:ilvl="0">
      <w:start w:val="1"/>
      <w:numFmt w:val="chineseCountingThousand"/>
      <w:pStyle w:val="1"/>
      <w:suff w:val="nothing"/>
      <w:lvlText w:val="%1、"/>
      <w:lvlJc w:val="left"/>
      <w:pPr>
        <w:ind w:left="1430" w:hanging="630"/>
      </w:pPr>
      <w:rPr>
        <w:rFonts w:hint="default"/>
      </w:rPr>
    </w:lvl>
    <w:lvl w:ilvl="1">
      <w:start w:val="1"/>
      <w:numFmt w:val="lowerLetter"/>
      <w:lvlText w:val="%2)"/>
      <w:lvlJc w:val="left"/>
      <w:pPr>
        <w:ind w:left="1640" w:hanging="420"/>
      </w:pPr>
      <w:rPr>
        <w:rFonts w:hint="eastAsia"/>
      </w:rPr>
    </w:lvl>
    <w:lvl w:ilvl="2">
      <w:start w:val="1"/>
      <w:numFmt w:val="lowerRoman"/>
      <w:lvlText w:val="%3."/>
      <w:lvlJc w:val="right"/>
      <w:pPr>
        <w:ind w:left="2060" w:hanging="420"/>
      </w:pPr>
      <w:rPr>
        <w:rFonts w:hint="eastAsia"/>
      </w:rPr>
    </w:lvl>
    <w:lvl w:ilvl="3">
      <w:start w:val="1"/>
      <w:numFmt w:val="decimal"/>
      <w:lvlText w:val="%4."/>
      <w:lvlJc w:val="left"/>
      <w:pPr>
        <w:ind w:left="2480" w:hanging="420"/>
      </w:pPr>
      <w:rPr>
        <w:rFonts w:hint="eastAsia"/>
      </w:rPr>
    </w:lvl>
    <w:lvl w:ilvl="4">
      <w:start w:val="1"/>
      <w:numFmt w:val="lowerLetter"/>
      <w:lvlText w:val="%5)"/>
      <w:lvlJc w:val="left"/>
      <w:pPr>
        <w:ind w:left="2900" w:hanging="420"/>
      </w:pPr>
      <w:rPr>
        <w:rFonts w:hint="eastAsia"/>
      </w:rPr>
    </w:lvl>
    <w:lvl w:ilvl="5">
      <w:start w:val="1"/>
      <w:numFmt w:val="lowerRoman"/>
      <w:lvlText w:val="%6."/>
      <w:lvlJc w:val="right"/>
      <w:pPr>
        <w:ind w:left="3320" w:hanging="420"/>
      </w:pPr>
      <w:rPr>
        <w:rFonts w:hint="eastAsia"/>
      </w:rPr>
    </w:lvl>
    <w:lvl w:ilvl="6">
      <w:start w:val="1"/>
      <w:numFmt w:val="decimal"/>
      <w:lvlText w:val="%7."/>
      <w:lvlJc w:val="left"/>
      <w:pPr>
        <w:ind w:left="3740" w:hanging="420"/>
      </w:pPr>
      <w:rPr>
        <w:rFonts w:hint="eastAsia"/>
      </w:rPr>
    </w:lvl>
    <w:lvl w:ilvl="7">
      <w:start w:val="1"/>
      <w:numFmt w:val="lowerLetter"/>
      <w:lvlText w:val="%8)"/>
      <w:lvlJc w:val="left"/>
      <w:pPr>
        <w:ind w:left="4160" w:hanging="420"/>
      </w:pPr>
      <w:rPr>
        <w:rFonts w:hint="eastAsia"/>
      </w:rPr>
    </w:lvl>
    <w:lvl w:ilvl="8">
      <w:start w:val="1"/>
      <w:numFmt w:val="lowerRoman"/>
      <w:lvlText w:val="%9."/>
      <w:lvlJc w:val="right"/>
      <w:pPr>
        <w:ind w:left="45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defaultTabStop w:val="420"/>
  <w:drawingGridHorizontalSpacing w:val="150"/>
  <w:drawingGridVerticalSpacing w:val="2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I4ODk1OTYxODU3Y2NiOTVkNDIwNTBlZTcwYWQ2MWYifQ=="/>
  </w:docVars>
  <w:rsids>
    <w:rsidRoot w:val="00343C3A"/>
    <w:rsid w:val="B7DFA1B9"/>
    <w:rsid w:val="FA5621E9"/>
    <w:rsid w:val="FBFBBE50"/>
    <w:rsid w:val="00001AA4"/>
    <w:rsid w:val="00050E3F"/>
    <w:rsid w:val="000600D7"/>
    <w:rsid w:val="0007020C"/>
    <w:rsid w:val="0008790F"/>
    <w:rsid w:val="000A53F6"/>
    <w:rsid w:val="000B1A70"/>
    <w:rsid w:val="000D6F20"/>
    <w:rsid w:val="000E0A7B"/>
    <w:rsid w:val="000F3918"/>
    <w:rsid w:val="00101386"/>
    <w:rsid w:val="00124EA9"/>
    <w:rsid w:val="00136EC1"/>
    <w:rsid w:val="00137EE6"/>
    <w:rsid w:val="00145923"/>
    <w:rsid w:val="00145A32"/>
    <w:rsid w:val="00147A05"/>
    <w:rsid w:val="00164493"/>
    <w:rsid w:val="0018171B"/>
    <w:rsid w:val="0019182D"/>
    <w:rsid w:val="001A3014"/>
    <w:rsid w:val="001A366C"/>
    <w:rsid w:val="001F19D5"/>
    <w:rsid w:val="002048F0"/>
    <w:rsid w:val="00220F3D"/>
    <w:rsid w:val="00227283"/>
    <w:rsid w:val="00227C14"/>
    <w:rsid w:val="00231255"/>
    <w:rsid w:val="00240F8E"/>
    <w:rsid w:val="00243A60"/>
    <w:rsid w:val="00271A68"/>
    <w:rsid w:val="002840A1"/>
    <w:rsid w:val="002D56F8"/>
    <w:rsid w:val="0030122A"/>
    <w:rsid w:val="00310A08"/>
    <w:rsid w:val="00310FAC"/>
    <w:rsid w:val="00336E66"/>
    <w:rsid w:val="00343C3A"/>
    <w:rsid w:val="003632E1"/>
    <w:rsid w:val="00365CC9"/>
    <w:rsid w:val="00382768"/>
    <w:rsid w:val="00384768"/>
    <w:rsid w:val="00396C81"/>
    <w:rsid w:val="003A39E0"/>
    <w:rsid w:val="003E5B30"/>
    <w:rsid w:val="003F0EFA"/>
    <w:rsid w:val="003F28F2"/>
    <w:rsid w:val="003F7793"/>
    <w:rsid w:val="0040667F"/>
    <w:rsid w:val="00413645"/>
    <w:rsid w:val="004341D7"/>
    <w:rsid w:val="004350D3"/>
    <w:rsid w:val="00470A82"/>
    <w:rsid w:val="00480A2D"/>
    <w:rsid w:val="00482EB4"/>
    <w:rsid w:val="00490A07"/>
    <w:rsid w:val="00494E18"/>
    <w:rsid w:val="00495197"/>
    <w:rsid w:val="004A05C9"/>
    <w:rsid w:val="004A3D3C"/>
    <w:rsid w:val="004A3DEE"/>
    <w:rsid w:val="004A4809"/>
    <w:rsid w:val="004B54CE"/>
    <w:rsid w:val="004C0CAC"/>
    <w:rsid w:val="00575E82"/>
    <w:rsid w:val="00577588"/>
    <w:rsid w:val="005B1FD4"/>
    <w:rsid w:val="005D047F"/>
    <w:rsid w:val="00606D45"/>
    <w:rsid w:val="00611BEF"/>
    <w:rsid w:val="00617A42"/>
    <w:rsid w:val="00642127"/>
    <w:rsid w:val="00642F85"/>
    <w:rsid w:val="006447F7"/>
    <w:rsid w:val="00651FE5"/>
    <w:rsid w:val="006522BB"/>
    <w:rsid w:val="006663C3"/>
    <w:rsid w:val="0068443C"/>
    <w:rsid w:val="00696AF2"/>
    <w:rsid w:val="006A22AB"/>
    <w:rsid w:val="006A652C"/>
    <w:rsid w:val="006A7E94"/>
    <w:rsid w:val="006C694E"/>
    <w:rsid w:val="006C6FAC"/>
    <w:rsid w:val="006D61D6"/>
    <w:rsid w:val="006D759A"/>
    <w:rsid w:val="006F3559"/>
    <w:rsid w:val="00704DD1"/>
    <w:rsid w:val="00727C56"/>
    <w:rsid w:val="00732BA8"/>
    <w:rsid w:val="00735533"/>
    <w:rsid w:val="0074694C"/>
    <w:rsid w:val="00750AAC"/>
    <w:rsid w:val="00766E55"/>
    <w:rsid w:val="00767560"/>
    <w:rsid w:val="00773191"/>
    <w:rsid w:val="00773939"/>
    <w:rsid w:val="00784A57"/>
    <w:rsid w:val="007D0730"/>
    <w:rsid w:val="007E1105"/>
    <w:rsid w:val="007E5B42"/>
    <w:rsid w:val="007F1B12"/>
    <w:rsid w:val="007F7AC2"/>
    <w:rsid w:val="00810127"/>
    <w:rsid w:val="00846237"/>
    <w:rsid w:val="0085236F"/>
    <w:rsid w:val="00864996"/>
    <w:rsid w:val="00894802"/>
    <w:rsid w:val="008A271D"/>
    <w:rsid w:val="008A36EE"/>
    <w:rsid w:val="008B0E28"/>
    <w:rsid w:val="008D045A"/>
    <w:rsid w:val="008E2306"/>
    <w:rsid w:val="00903A30"/>
    <w:rsid w:val="0090462C"/>
    <w:rsid w:val="00932ED6"/>
    <w:rsid w:val="009445FC"/>
    <w:rsid w:val="00945353"/>
    <w:rsid w:val="00997CD5"/>
    <w:rsid w:val="00A0407F"/>
    <w:rsid w:val="00A044EA"/>
    <w:rsid w:val="00A144AB"/>
    <w:rsid w:val="00A31D61"/>
    <w:rsid w:val="00A34EDB"/>
    <w:rsid w:val="00A6566C"/>
    <w:rsid w:val="00A73058"/>
    <w:rsid w:val="00A83AD9"/>
    <w:rsid w:val="00A83C0A"/>
    <w:rsid w:val="00A917F4"/>
    <w:rsid w:val="00A94A51"/>
    <w:rsid w:val="00AA4ECF"/>
    <w:rsid w:val="00AA5B12"/>
    <w:rsid w:val="00AE6D46"/>
    <w:rsid w:val="00AF481D"/>
    <w:rsid w:val="00AF5410"/>
    <w:rsid w:val="00AF55AB"/>
    <w:rsid w:val="00B1485D"/>
    <w:rsid w:val="00B32C4D"/>
    <w:rsid w:val="00B57CB7"/>
    <w:rsid w:val="00B608A8"/>
    <w:rsid w:val="00B6155B"/>
    <w:rsid w:val="00B6280C"/>
    <w:rsid w:val="00B65FF8"/>
    <w:rsid w:val="00B94804"/>
    <w:rsid w:val="00BC38E4"/>
    <w:rsid w:val="00BE673C"/>
    <w:rsid w:val="00BE70F6"/>
    <w:rsid w:val="00C04D57"/>
    <w:rsid w:val="00C052BC"/>
    <w:rsid w:val="00C23A81"/>
    <w:rsid w:val="00C41B8A"/>
    <w:rsid w:val="00C435F0"/>
    <w:rsid w:val="00C443FE"/>
    <w:rsid w:val="00C62400"/>
    <w:rsid w:val="00C66697"/>
    <w:rsid w:val="00C711F2"/>
    <w:rsid w:val="00C81319"/>
    <w:rsid w:val="00CB3A1F"/>
    <w:rsid w:val="00CC2051"/>
    <w:rsid w:val="00CC6102"/>
    <w:rsid w:val="00D06400"/>
    <w:rsid w:val="00D10FEA"/>
    <w:rsid w:val="00D435A4"/>
    <w:rsid w:val="00D71A63"/>
    <w:rsid w:val="00D72F0A"/>
    <w:rsid w:val="00D8437C"/>
    <w:rsid w:val="00DD13A5"/>
    <w:rsid w:val="00DD49ED"/>
    <w:rsid w:val="00DE0B97"/>
    <w:rsid w:val="00DE1470"/>
    <w:rsid w:val="00DF4BFF"/>
    <w:rsid w:val="00DF584B"/>
    <w:rsid w:val="00E26374"/>
    <w:rsid w:val="00E41A32"/>
    <w:rsid w:val="00E71CE2"/>
    <w:rsid w:val="00EA5905"/>
    <w:rsid w:val="00EB64B0"/>
    <w:rsid w:val="00EC350F"/>
    <w:rsid w:val="00EC6C64"/>
    <w:rsid w:val="00ED66F2"/>
    <w:rsid w:val="00EF59FF"/>
    <w:rsid w:val="00F04E81"/>
    <w:rsid w:val="00F14FDB"/>
    <w:rsid w:val="00F328FD"/>
    <w:rsid w:val="00F37D36"/>
    <w:rsid w:val="00F718D5"/>
    <w:rsid w:val="00F77F73"/>
    <w:rsid w:val="00FB1113"/>
    <w:rsid w:val="00FC0565"/>
    <w:rsid w:val="0E5E1C72"/>
    <w:rsid w:val="154020D1"/>
    <w:rsid w:val="21F62BD7"/>
    <w:rsid w:val="25074C4E"/>
    <w:rsid w:val="2EED69CE"/>
    <w:rsid w:val="3ADF0B5E"/>
    <w:rsid w:val="3E725142"/>
    <w:rsid w:val="3EA13331"/>
    <w:rsid w:val="3F0F0BE2"/>
    <w:rsid w:val="3F76656C"/>
    <w:rsid w:val="41D61543"/>
    <w:rsid w:val="420662CD"/>
    <w:rsid w:val="46C202E8"/>
    <w:rsid w:val="49555444"/>
    <w:rsid w:val="4BFE720F"/>
    <w:rsid w:val="50A07E46"/>
    <w:rsid w:val="5A4968FF"/>
    <w:rsid w:val="5FF915DB"/>
    <w:rsid w:val="617A5F38"/>
    <w:rsid w:val="64C51278"/>
    <w:rsid w:val="70FC0717"/>
    <w:rsid w:val="72035AD5"/>
    <w:rsid w:val="73C31078"/>
    <w:rsid w:val="798735A4"/>
    <w:rsid w:val="7FE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75A692"/>
  <w15:docId w15:val="{63FE2278-A3D8-4207-B0A1-CBD46C87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spacing w:line="600" w:lineRule="exact"/>
      <w:ind w:firstLineChars="200" w:firstLine="200"/>
      <w:jc w:val="both"/>
    </w:pPr>
    <w:rPr>
      <w:rFonts w:ascii="仿宋_GB2312" w:eastAsia="仿宋_GB2312" w:hAnsi="宋体" w:cs="宋体"/>
      <w:sz w:val="30"/>
      <w:szCs w:val="30"/>
    </w:rPr>
  </w:style>
  <w:style w:type="paragraph" w:styleId="1">
    <w:name w:val="heading 1"/>
    <w:basedOn w:val="a"/>
    <w:next w:val="a"/>
    <w:link w:val="10"/>
    <w:uiPriority w:val="99"/>
    <w:qFormat/>
    <w:pPr>
      <w:widowControl/>
      <w:numPr>
        <w:numId w:val="1"/>
      </w:numPr>
      <w:ind w:firstLineChars="0" w:firstLine="0"/>
      <w:jc w:val="left"/>
      <w:outlineLvl w:val="0"/>
    </w:pPr>
    <w:rPr>
      <w:rFonts w:ascii="方正大标宋简体" w:eastAsia="方正大标宋简体"/>
      <w:b/>
      <w:sz w:val="32"/>
      <w:szCs w:val="32"/>
    </w:rPr>
  </w:style>
  <w:style w:type="paragraph" w:styleId="2">
    <w:name w:val="heading 2"/>
    <w:basedOn w:val="a"/>
    <w:next w:val="a"/>
    <w:link w:val="20"/>
    <w:uiPriority w:val="9"/>
    <w:unhideWhenUsed/>
    <w:qFormat/>
    <w:pPr>
      <w:ind w:firstLine="640"/>
      <w:outlineLvl w:val="1"/>
    </w:pPr>
    <w:rPr>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a4"/>
    <w:uiPriority w:val="99"/>
    <w:unhideWhenUsed/>
    <w:qFormat/>
    <w:rPr>
      <w:rFonts w:ascii="宋体" w:hAnsi="Courier New" w:cs="Courier New"/>
    </w:rPr>
  </w:style>
  <w:style w:type="paragraph" w:styleId="a5">
    <w:name w:val="Normal Indent"/>
    <w:basedOn w:val="a"/>
    <w:uiPriority w:val="99"/>
    <w:unhideWhenUsed/>
    <w:qFormat/>
    <w:pPr>
      <w:spacing w:line="240" w:lineRule="auto"/>
      <w:ind w:firstLine="420"/>
    </w:pPr>
    <w:rPr>
      <w:rFonts w:ascii="Calibri" w:eastAsia="宋体" w:hAnsi="Calibri" w:cs="Times New Roman"/>
      <w:kern w:val="2"/>
      <w:sz w:val="21"/>
      <w:szCs w:val="21"/>
    </w:rPr>
  </w:style>
  <w:style w:type="paragraph" w:styleId="a6">
    <w:name w:val="caption"/>
    <w:basedOn w:val="a"/>
    <w:next w:val="a"/>
    <w:link w:val="a7"/>
    <w:unhideWhenUsed/>
    <w:qFormat/>
    <w:pPr>
      <w:spacing w:line="360" w:lineRule="auto"/>
      <w:ind w:firstLineChars="0" w:firstLine="0"/>
      <w:jc w:val="center"/>
    </w:pPr>
    <w:rPr>
      <w:rFonts w:ascii="Times New Roman" w:eastAsia="宋体" w:hAnsi="Times New Roman" w:cstheme="minorBidi"/>
      <w:b/>
      <w:bCs/>
      <w:kern w:val="2"/>
      <w:sz w:val="21"/>
      <w:szCs w:val="20"/>
    </w:rPr>
  </w:style>
  <w:style w:type="paragraph" w:styleId="a8">
    <w:name w:val="annotation text"/>
    <w:basedOn w:val="a"/>
    <w:link w:val="a9"/>
    <w:uiPriority w:val="99"/>
    <w:semiHidden/>
    <w:unhideWhenUsed/>
    <w:qFormat/>
    <w:pPr>
      <w:jc w:val="left"/>
    </w:p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spacing w:line="240" w:lineRule="atLeast"/>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0">
    <w:name w:val="Title"/>
    <w:basedOn w:val="a"/>
    <w:next w:val="a"/>
    <w:link w:val="af1"/>
    <w:uiPriority w:val="10"/>
    <w:qFormat/>
    <w:pPr>
      <w:widowControl/>
      <w:snapToGrid w:val="0"/>
      <w:spacing w:line="276" w:lineRule="auto"/>
      <w:ind w:firstLineChars="0" w:firstLine="0"/>
      <w:jc w:val="center"/>
    </w:pPr>
    <w:rPr>
      <w:rFonts w:ascii="微软雅黑" w:eastAsia="微软雅黑" w:hAnsi="微软雅黑" w:cs="微软雅黑"/>
      <w:bCs/>
      <w:sz w:val="48"/>
      <w:szCs w:val="48"/>
    </w:rPr>
  </w:style>
  <w:style w:type="paragraph" w:styleId="af2">
    <w:name w:val="annotation subject"/>
    <w:basedOn w:val="a8"/>
    <w:next w:val="a8"/>
    <w:link w:val="af3"/>
    <w:uiPriority w:val="99"/>
    <w:semiHidden/>
    <w:unhideWhenUsed/>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1"/>
    <w:uiPriority w:val="99"/>
    <w:semiHidden/>
    <w:unhideWhenUsed/>
    <w:qFormat/>
    <w:rPr>
      <w:sz w:val="21"/>
      <w:szCs w:val="21"/>
    </w:rPr>
  </w:style>
  <w:style w:type="character" w:customStyle="1" w:styleId="10">
    <w:name w:val="标题 1 字符"/>
    <w:basedOn w:val="a1"/>
    <w:link w:val="1"/>
    <w:uiPriority w:val="99"/>
    <w:qFormat/>
    <w:rPr>
      <w:rFonts w:ascii="方正大标宋简体" w:eastAsia="方正大标宋简体" w:hAnsi="宋体" w:cs="宋体"/>
      <w:b/>
      <w:kern w:val="0"/>
      <w:sz w:val="32"/>
      <w:szCs w:val="32"/>
    </w:rPr>
  </w:style>
  <w:style w:type="paragraph" w:customStyle="1" w:styleId="11">
    <w:name w:val="列出段落1"/>
    <w:basedOn w:val="a"/>
    <w:uiPriority w:val="99"/>
    <w:qFormat/>
    <w:pPr>
      <w:ind w:firstLine="420"/>
    </w:pPr>
  </w:style>
  <w:style w:type="paragraph" w:customStyle="1" w:styleId="SG">
    <w:name w:val="SG正文"/>
    <w:basedOn w:val="a"/>
    <w:qFormat/>
    <w:rPr>
      <w:rFonts w:ascii="Times New Roman" w:hAnsi="Times New Roman"/>
      <w:sz w:val="24"/>
    </w:rPr>
  </w:style>
  <w:style w:type="character" w:customStyle="1" w:styleId="af1">
    <w:name w:val="标题 字符"/>
    <w:basedOn w:val="a1"/>
    <w:link w:val="af0"/>
    <w:uiPriority w:val="10"/>
    <w:qFormat/>
    <w:rPr>
      <w:rFonts w:ascii="微软雅黑" w:eastAsia="微软雅黑" w:hAnsi="微软雅黑" w:cs="微软雅黑"/>
      <w:bCs/>
      <w:kern w:val="0"/>
      <w:sz w:val="48"/>
      <w:szCs w:val="48"/>
    </w:rPr>
  </w:style>
  <w:style w:type="character" w:customStyle="1" w:styleId="20">
    <w:name w:val="标题 2 字符"/>
    <w:basedOn w:val="a1"/>
    <w:link w:val="2"/>
    <w:uiPriority w:val="9"/>
    <w:qFormat/>
    <w:rPr>
      <w:rFonts w:ascii="仿宋_GB2312" w:eastAsia="仿宋_GB2312" w:hAnsi="宋体" w:cs="宋体"/>
      <w:b/>
      <w:kern w:val="0"/>
      <w:sz w:val="32"/>
      <w:szCs w:val="32"/>
    </w:rPr>
  </w:style>
  <w:style w:type="paragraph" w:customStyle="1" w:styleId="af6">
    <w:name w:val="表格内容"/>
    <w:basedOn w:val="a"/>
    <w:link w:val="af7"/>
    <w:qFormat/>
    <w:pPr>
      <w:spacing w:line="360" w:lineRule="auto"/>
    </w:pPr>
    <w:rPr>
      <w:rFonts w:ascii="Times New Roman" w:eastAsia="宋体" w:hAnsi="Times New Roman" w:cstheme="minorBidi"/>
      <w:bCs/>
      <w:kern w:val="2"/>
      <w:sz w:val="24"/>
      <w:szCs w:val="21"/>
    </w:rPr>
  </w:style>
  <w:style w:type="character" w:customStyle="1" w:styleId="af7">
    <w:name w:val="表格内容 字符"/>
    <w:basedOn w:val="a1"/>
    <w:link w:val="af6"/>
    <w:qFormat/>
    <w:rPr>
      <w:rFonts w:ascii="Times New Roman" w:eastAsia="宋体" w:hAnsi="Times New Roman"/>
      <w:bCs/>
      <w:sz w:val="24"/>
      <w:szCs w:val="21"/>
    </w:rPr>
  </w:style>
  <w:style w:type="character" w:customStyle="1" w:styleId="af">
    <w:name w:val="页眉 字符"/>
    <w:basedOn w:val="a1"/>
    <w:link w:val="ae"/>
    <w:uiPriority w:val="99"/>
    <w:qFormat/>
    <w:rPr>
      <w:rFonts w:ascii="仿宋_GB2312" w:eastAsia="仿宋_GB2312" w:hAnsi="宋体" w:cs="宋体"/>
      <w:kern w:val="0"/>
      <w:sz w:val="18"/>
      <w:szCs w:val="18"/>
    </w:rPr>
  </w:style>
  <w:style w:type="character" w:customStyle="1" w:styleId="ad">
    <w:name w:val="页脚 字符"/>
    <w:basedOn w:val="a1"/>
    <w:link w:val="ac"/>
    <w:uiPriority w:val="99"/>
    <w:qFormat/>
    <w:rPr>
      <w:rFonts w:ascii="仿宋_GB2312" w:eastAsia="仿宋_GB2312" w:hAnsi="宋体" w:cs="宋体"/>
      <w:kern w:val="0"/>
      <w:sz w:val="18"/>
      <w:szCs w:val="18"/>
    </w:rPr>
  </w:style>
  <w:style w:type="character" w:customStyle="1" w:styleId="a9">
    <w:name w:val="批注文字 字符"/>
    <w:basedOn w:val="a1"/>
    <w:link w:val="a8"/>
    <w:uiPriority w:val="99"/>
    <w:semiHidden/>
    <w:qFormat/>
    <w:rPr>
      <w:rFonts w:ascii="仿宋_GB2312" w:eastAsia="仿宋_GB2312" w:hAnsi="宋体" w:cs="宋体"/>
      <w:kern w:val="0"/>
      <w:sz w:val="30"/>
      <w:szCs w:val="30"/>
    </w:rPr>
  </w:style>
  <w:style w:type="character" w:customStyle="1" w:styleId="af3">
    <w:name w:val="批注主题 字符"/>
    <w:basedOn w:val="a9"/>
    <w:link w:val="af2"/>
    <w:uiPriority w:val="99"/>
    <w:semiHidden/>
    <w:qFormat/>
    <w:rPr>
      <w:rFonts w:ascii="仿宋_GB2312" w:eastAsia="仿宋_GB2312" w:hAnsi="宋体" w:cs="宋体"/>
      <w:b/>
      <w:bCs/>
      <w:kern w:val="0"/>
      <w:sz w:val="30"/>
      <w:szCs w:val="30"/>
    </w:rPr>
  </w:style>
  <w:style w:type="character" w:customStyle="1" w:styleId="ab">
    <w:name w:val="批注框文本 字符"/>
    <w:basedOn w:val="a1"/>
    <w:link w:val="aa"/>
    <w:uiPriority w:val="99"/>
    <w:semiHidden/>
    <w:qFormat/>
    <w:rPr>
      <w:rFonts w:ascii="仿宋_GB2312" w:eastAsia="仿宋_GB2312" w:hAnsi="宋体" w:cs="宋体"/>
      <w:kern w:val="0"/>
      <w:sz w:val="18"/>
      <w:szCs w:val="18"/>
    </w:rPr>
  </w:style>
  <w:style w:type="paragraph" w:styleId="af8">
    <w:name w:val="List Paragraph"/>
    <w:basedOn w:val="a"/>
    <w:uiPriority w:val="99"/>
    <w:pPr>
      <w:ind w:firstLine="420"/>
    </w:pPr>
  </w:style>
  <w:style w:type="character" w:customStyle="1" w:styleId="a7">
    <w:name w:val="题注 字符"/>
    <w:link w:val="a6"/>
    <w:qFormat/>
    <w:rPr>
      <w:rFonts w:ascii="Times New Roman" w:eastAsia="宋体" w:hAnsi="Times New Roman"/>
      <w:b/>
      <w:bCs/>
      <w:kern w:val="2"/>
      <w:sz w:val="21"/>
    </w:rPr>
  </w:style>
  <w:style w:type="character" w:customStyle="1" w:styleId="a4">
    <w:name w:val="纯文本 字符"/>
    <w:basedOn w:val="a1"/>
    <w:link w:val="a0"/>
    <w:uiPriority w:val="99"/>
    <w:qFormat/>
    <w:rPr>
      <w:rFonts w:ascii="宋体" w:eastAsia="仿宋_GB2312" w:hAnsi="Courier New" w:cs="Courier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397</Words>
  <Characters>2268</Characters>
  <Application>Microsoft Office Word</Application>
  <DocSecurity>0</DocSecurity>
  <Lines>18</Lines>
  <Paragraphs>5</Paragraphs>
  <ScaleCrop>false</ScaleCrop>
  <Company>微软中国</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成君</dc:creator>
  <cp:lastModifiedBy>Administrator</cp:lastModifiedBy>
  <cp:revision>4</cp:revision>
  <cp:lastPrinted>2024-08-28T05:35:00Z</cp:lastPrinted>
  <dcterms:created xsi:type="dcterms:W3CDTF">2025-07-02T08:08:00Z</dcterms:created>
  <dcterms:modified xsi:type="dcterms:W3CDTF">2025-07-02T08:14:00Z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41D8E6C548C24B168883AC2428FBF29F_13</vt:lpwstr>
  </property>
  <property fmtid="{D5CDD505-2E9C-101B-9397-08002B2CF9AE}" pid="4" name="KSOTemplateDocerSaveRecord">
    <vt:lpwstr>eyJoZGlkIjoiYTI0ODYyZDQ5NTNlZTRiZjgzZDg3MDBkMDhkNmQzYzkiLCJ1c2VySWQiOiIzOTQ5NjU2ODQifQ==</vt:lpwstr>
  </property>
</Properties>
</file>