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DBE4AA">
      <w:pPr>
        <w:pStyle w:val="41"/>
        <w:outlineLvl w:val="9"/>
        <w:rPr>
          <w:rFonts w:asciiTheme="minorEastAsia" w:hAnsiTheme="minorEastAsia" w:eastAsiaTheme="minorEastAsia"/>
          <w:bCs/>
        </w:rPr>
      </w:pPr>
      <w:r>
        <w:rPr>
          <w:rFonts w:hint="eastAsia" w:eastAsiaTheme="minorEastAsia"/>
        </w:rPr>
        <w:t>茂名艺宝珠宝制造有限公司年产0.18吨珠宝首饰建设项目</w:t>
      </w:r>
      <w:r>
        <w:rPr>
          <w:rFonts w:hint="eastAsia" w:asciiTheme="minorEastAsia" w:hAnsiTheme="minorEastAsia" w:eastAsiaTheme="minorEastAsia"/>
          <w:bCs/>
        </w:rPr>
        <w:t>竣工环境保护验收意见</w:t>
      </w:r>
    </w:p>
    <w:p w14:paraId="0E402B94">
      <w:pPr>
        <w:spacing w:line="560" w:lineRule="exact"/>
        <w:ind w:firstLine="800" w:firstLineChars="250"/>
        <w:rPr>
          <w:rFonts w:ascii="Times New Roman" w:hAnsi="Times New Roman" w:eastAsia="华文宋体"/>
          <w:kern w:val="0"/>
          <w:sz w:val="32"/>
          <w:szCs w:val="32"/>
        </w:rPr>
      </w:pPr>
    </w:p>
    <w:p w14:paraId="383389B3">
      <w:pPr>
        <w:spacing w:line="580" w:lineRule="exact"/>
        <w:ind w:firstLine="640" w:firstLineChars="200"/>
        <w:rPr>
          <w:rFonts w:ascii="仿宋_GB2312" w:eastAsia="仿宋_GB2312" w:hAnsiTheme="minorEastAsia"/>
          <w:kern w:val="0"/>
          <w:sz w:val="32"/>
          <w:szCs w:val="32"/>
        </w:rPr>
      </w:pPr>
      <w:r>
        <w:rPr>
          <w:rFonts w:ascii="仿宋_GB2312" w:eastAsia="仿宋_GB2312" w:hAnsiTheme="minorEastAsia"/>
          <w:kern w:val="0"/>
          <w:sz w:val="32"/>
          <w:szCs w:val="32"/>
        </w:rPr>
        <w:t>202</w:t>
      </w:r>
      <w:r>
        <w:rPr>
          <w:rFonts w:hint="eastAsia" w:ascii="仿宋_GB2312" w:eastAsia="仿宋_GB2312" w:hAnsiTheme="minorEastAsia"/>
          <w:kern w:val="0"/>
          <w:sz w:val="32"/>
          <w:szCs w:val="32"/>
        </w:rPr>
        <w:t>5年</w:t>
      </w:r>
      <w:r>
        <w:rPr>
          <w:rFonts w:ascii="仿宋_GB2312" w:eastAsia="仿宋_GB2312" w:hAnsiTheme="minorEastAsia"/>
          <w:kern w:val="0"/>
          <w:sz w:val="32"/>
          <w:szCs w:val="32"/>
        </w:rPr>
        <w:t>6</w:t>
      </w:r>
      <w:r>
        <w:rPr>
          <w:rFonts w:hint="eastAsia" w:ascii="仿宋_GB2312" w:eastAsia="仿宋_GB2312" w:hAnsiTheme="minorEastAsia"/>
          <w:kern w:val="0"/>
          <w:sz w:val="32"/>
          <w:szCs w:val="32"/>
        </w:rPr>
        <w:t>月</w:t>
      </w:r>
      <w:r>
        <w:rPr>
          <w:rFonts w:ascii="仿宋_GB2312" w:eastAsia="仿宋_GB2312" w:hAnsiTheme="minorEastAsia"/>
          <w:kern w:val="0"/>
          <w:sz w:val="32"/>
          <w:szCs w:val="32"/>
        </w:rPr>
        <w:t>4</w:t>
      </w:r>
      <w:r>
        <w:rPr>
          <w:rFonts w:hint="eastAsia" w:ascii="仿宋_GB2312" w:eastAsia="仿宋_GB2312" w:hAnsiTheme="minorEastAsia"/>
          <w:kern w:val="0"/>
          <w:sz w:val="32"/>
          <w:szCs w:val="32"/>
        </w:rPr>
        <w:t>日，</w:t>
      </w:r>
      <w:bookmarkStart w:id="0" w:name="_Hlk147993636"/>
      <w:r>
        <w:rPr>
          <w:rFonts w:hint="eastAsia" w:ascii="仿宋_GB2312" w:eastAsia="仿宋_GB2312" w:hAnsiTheme="minorEastAsia"/>
          <w:kern w:val="0"/>
          <w:sz w:val="32"/>
          <w:szCs w:val="32"/>
        </w:rPr>
        <w:t>茂名艺宝珠宝制造有限公司在公司会议室</w:t>
      </w:r>
      <w:bookmarkEnd w:id="0"/>
      <w:r>
        <w:rPr>
          <w:rFonts w:hint="eastAsia" w:ascii="仿宋_GB2312" w:eastAsia="仿宋_GB2312" w:hAnsiTheme="minorEastAsia"/>
          <w:kern w:val="0"/>
          <w:sz w:val="32"/>
          <w:szCs w:val="32"/>
        </w:rPr>
        <w:t>组织召开《茂名艺宝珠宝制造有限公司年产0.18吨珠宝首饰建设项目》项目竣工环境保护验收会。验收组成员有茂名艺宝珠宝制造有限公司（建设单位）、广东环科技术咨询有限公司（环评单位）、广东众惠环境检测有限公司（验收监测单位）的代表，并特邀</w:t>
      </w:r>
      <w:r>
        <w:rPr>
          <w:rFonts w:ascii="仿宋_GB2312" w:eastAsia="仿宋_GB2312" w:hAnsiTheme="minorEastAsia"/>
          <w:kern w:val="0"/>
          <w:sz w:val="32"/>
          <w:szCs w:val="32"/>
        </w:rPr>
        <w:t>3</w:t>
      </w:r>
      <w:r>
        <w:rPr>
          <w:rFonts w:hint="eastAsia" w:ascii="仿宋_GB2312" w:eastAsia="仿宋_GB2312" w:hAnsiTheme="minorEastAsia"/>
          <w:kern w:val="0"/>
          <w:sz w:val="32"/>
          <w:szCs w:val="32"/>
        </w:rPr>
        <w:t>名专家组成。</w:t>
      </w:r>
    </w:p>
    <w:p w14:paraId="0D29F1AF">
      <w:pPr>
        <w:spacing w:line="580" w:lineRule="exact"/>
        <w:ind w:firstLine="640" w:firstLineChars="200"/>
        <w:rPr>
          <w:rFonts w:ascii="仿宋_GB2312" w:eastAsia="仿宋_GB2312" w:hAnsiTheme="minorEastAsia"/>
          <w:kern w:val="0"/>
          <w:sz w:val="32"/>
          <w:szCs w:val="32"/>
        </w:rPr>
      </w:pPr>
      <w:r>
        <w:rPr>
          <w:rFonts w:hint="eastAsia" w:ascii="仿宋_GB2312" w:eastAsia="仿宋_GB2312" w:hAnsiTheme="minorEastAsia"/>
          <w:kern w:val="0"/>
          <w:sz w:val="32"/>
          <w:szCs w:val="32"/>
        </w:rPr>
        <w:t>验收组成员根据茂名艺宝珠宝制造有限公司年产0.18吨珠宝首饰建设项目竣工环境保护验收监测报告并对照《建设项目竣工环境保护验收暂行办法》，严格依照国家有关法律法规、建设项目竣工环境保护验收技术规范、指南、本项目环境影响报告表和审批部门审批决定等要求，现场核实了本项目建设及配套的环境保护措施落实情况，查阅了相关资料，</w:t>
      </w:r>
      <w:r>
        <w:rPr>
          <w:rFonts w:ascii="仿宋_GB2312" w:eastAsia="仿宋_GB2312" w:hAnsiTheme="minorEastAsia"/>
          <w:kern w:val="0"/>
          <w:sz w:val="32"/>
          <w:szCs w:val="32"/>
        </w:rPr>
        <w:t>经认真讨论后形成了现场验收意见。验收意见如下</w:t>
      </w:r>
      <w:r>
        <w:rPr>
          <w:rFonts w:hint="eastAsia" w:ascii="仿宋_GB2312" w:eastAsia="仿宋_GB2312" w:hAnsiTheme="minorEastAsia"/>
          <w:kern w:val="0"/>
          <w:sz w:val="32"/>
          <w:szCs w:val="32"/>
        </w:rPr>
        <w:t>：</w:t>
      </w:r>
    </w:p>
    <w:p w14:paraId="59E489BC">
      <w:pPr>
        <w:pStyle w:val="27"/>
        <w:spacing w:line="580" w:lineRule="exact"/>
        <w:ind w:left="641" w:firstLine="0" w:firstLineChars="0"/>
        <w:rPr>
          <w:rFonts w:asciiTheme="minorEastAsia" w:hAnsiTheme="minorEastAsia" w:eastAsiaTheme="minorEastAsia"/>
          <w:b/>
          <w:kern w:val="0"/>
          <w:sz w:val="32"/>
          <w:szCs w:val="32"/>
        </w:rPr>
      </w:pPr>
      <w:r>
        <w:rPr>
          <w:rFonts w:hint="eastAsia" w:asciiTheme="minorEastAsia" w:hAnsiTheme="minorEastAsia" w:eastAsiaTheme="minorEastAsia"/>
          <w:b/>
          <w:kern w:val="0"/>
          <w:sz w:val="32"/>
          <w:szCs w:val="32"/>
        </w:rPr>
        <w:t>一、工程建设的基本情况</w:t>
      </w:r>
    </w:p>
    <w:p w14:paraId="01061D67">
      <w:pPr>
        <w:spacing w:line="580" w:lineRule="exact"/>
        <w:ind w:firstLine="643" w:firstLineChars="200"/>
        <w:outlineLvl w:val="0"/>
        <w:rPr>
          <w:rFonts w:asciiTheme="minorEastAsia" w:hAnsiTheme="minorEastAsia" w:eastAsiaTheme="minorEastAsia"/>
          <w:b/>
          <w:kern w:val="0"/>
          <w:sz w:val="32"/>
          <w:szCs w:val="32"/>
        </w:rPr>
      </w:pPr>
      <w:r>
        <w:rPr>
          <w:rFonts w:hint="eastAsia" w:asciiTheme="minorEastAsia" w:hAnsiTheme="minorEastAsia" w:eastAsiaTheme="minorEastAsia"/>
          <w:b/>
          <w:kern w:val="0"/>
          <w:sz w:val="32"/>
          <w:szCs w:val="32"/>
        </w:rPr>
        <w:t>（一）建设地点、规模、主要建设内容</w:t>
      </w:r>
    </w:p>
    <w:p w14:paraId="4A0E64E0">
      <w:pPr>
        <w:spacing w:line="580" w:lineRule="exact"/>
        <w:ind w:firstLine="640" w:firstLineChars="200"/>
        <w:rPr>
          <w:rFonts w:ascii="仿宋_GB2312" w:eastAsia="仿宋_GB2312" w:hAnsiTheme="minorEastAsia"/>
          <w:kern w:val="0"/>
          <w:sz w:val="32"/>
          <w:szCs w:val="32"/>
        </w:rPr>
      </w:pPr>
      <w:r>
        <w:rPr>
          <w:rFonts w:hint="eastAsia" w:ascii="仿宋_GB2312" w:eastAsia="仿宋_GB2312" w:hAnsiTheme="minorEastAsia"/>
          <w:kern w:val="0"/>
          <w:sz w:val="32"/>
          <w:szCs w:val="32"/>
        </w:rPr>
        <w:t>茂名艺宝珠宝制造有限公司年产0.18吨珠宝首饰建设项目位于广东省茂名市电白区电海街道迎宾大道288号二栋11-12楼（中心</w:t>
      </w:r>
      <w:r>
        <w:rPr>
          <w:rFonts w:ascii="仿宋_GB2312" w:eastAsia="仿宋_GB2312" w:hAnsiTheme="minorEastAsia"/>
          <w:kern w:val="0"/>
          <w:sz w:val="32"/>
          <w:szCs w:val="32"/>
        </w:rPr>
        <w:t>经纬度为：</w:t>
      </w:r>
      <w:r>
        <w:rPr>
          <w:rFonts w:hint="eastAsia" w:ascii="仿宋_GB2312" w:eastAsia="仿宋_GB2312" w:hAnsiTheme="minorEastAsia"/>
          <w:kern w:val="0"/>
          <w:sz w:val="32"/>
          <w:szCs w:val="32"/>
        </w:rPr>
        <w:t>东经111度1分23.232秒，北纬21度33分54.293秒</w:t>
      </w:r>
      <w:r>
        <w:rPr>
          <w:rFonts w:ascii="仿宋_GB2312" w:eastAsia="仿宋_GB2312" w:hAnsiTheme="minorEastAsia"/>
          <w:kern w:val="0"/>
          <w:sz w:val="32"/>
          <w:szCs w:val="32"/>
        </w:rPr>
        <w:t>）</w:t>
      </w:r>
      <w:r>
        <w:rPr>
          <w:rFonts w:hint="eastAsia" w:ascii="仿宋_GB2312" w:eastAsia="仿宋_GB2312" w:hAnsiTheme="minorEastAsia"/>
          <w:kern w:val="0"/>
          <w:sz w:val="32"/>
          <w:szCs w:val="32"/>
        </w:rPr>
        <w:t>，项目租用茂名爱得珠宝制造有限公司、茂名莱德珠宝创意有限公司已建厂房进行建设，项目占地面积1438.47m</w:t>
      </w:r>
      <w:r>
        <w:rPr>
          <w:rFonts w:hint="eastAsia" w:ascii="仿宋_GB2312" w:eastAsia="仿宋_GB2312" w:hAnsiTheme="minorEastAsia"/>
          <w:kern w:val="0"/>
          <w:sz w:val="32"/>
          <w:szCs w:val="32"/>
          <w:vertAlign w:val="superscript"/>
        </w:rPr>
        <w:t>2</w:t>
      </w:r>
      <w:r>
        <w:rPr>
          <w:rFonts w:hint="eastAsia" w:ascii="仿宋_GB2312" w:eastAsia="仿宋_GB2312" w:hAnsiTheme="minorEastAsia"/>
          <w:kern w:val="0"/>
          <w:sz w:val="32"/>
          <w:szCs w:val="32"/>
        </w:rPr>
        <w:t>，建筑面积2876.94m</w:t>
      </w:r>
      <w:r>
        <w:rPr>
          <w:rFonts w:hint="eastAsia" w:ascii="仿宋_GB2312" w:eastAsia="仿宋_GB2312" w:hAnsiTheme="minorEastAsia"/>
          <w:kern w:val="0"/>
          <w:sz w:val="32"/>
          <w:szCs w:val="32"/>
          <w:vertAlign w:val="superscript"/>
        </w:rPr>
        <w:t>2</w:t>
      </w:r>
      <w:r>
        <w:rPr>
          <w:rFonts w:hint="eastAsia" w:ascii="仿宋_GB2312" w:eastAsia="仿宋_GB2312" w:hAnsiTheme="minorEastAsia"/>
          <w:kern w:val="0"/>
          <w:sz w:val="32"/>
          <w:szCs w:val="32"/>
        </w:rPr>
        <w:t>，主要从事珠宝首饰及有关物品制造，年产9K首饰0.0568t、14K首饰0.0548t、18K首饰0.0284t、S925银首饰0.04t。</w:t>
      </w:r>
    </w:p>
    <w:p w14:paraId="0581C2EB">
      <w:pPr>
        <w:spacing w:line="580" w:lineRule="exact"/>
        <w:ind w:firstLine="643" w:firstLineChars="200"/>
        <w:rPr>
          <w:rFonts w:asciiTheme="minorEastAsia" w:hAnsiTheme="minorEastAsia" w:eastAsiaTheme="minorEastAsia"/>
          <w:b/>
          <w:kern w:val="0"/>
          <w:sz w:val="32"/>
          <w:szCs w:val="32"/>
        </w:rPr>
      </w:pPr>
      <w:r>
        <w:rPr>
          <w:rFonts w:hint="eastAsia" w:asciiTheme="minorEastAsia" w:hAnsiTheme="minorEastAsia" w:eastAsiaTheme="minorEastAsia"/>
          <w:b/>
          <w:kern w:val="0"/>
          <w:sz w:val="32"/>
          <w:szCs w:val="32"/>
        </w:rPr>
        <w:t>（二）建设过程及环保审批情况</w:t>
      </w:r>
    </w:p>
    <w:p w14:paraId="1C66AE42">
      <w:pPr>
        <w:ind w:firstLine="480"/>
        <w:rPr>
          <w:rFonts w:ascii="仿宋_GB2312" w:eastAsia="仿宋_GB2312" w:hAnsiTheme="minorEastAsia"/>
          <w:kern w:val="0"/>
          <w:sz w:val="32"/>
          <w:szCs w:val="32"/>
        </w:rPr>
      </w:pPr>
      <w:r>
        <w:rPr>
          <w:rFonts w:hint="eastAsia" w:ascii="仿宋_GB2312" w:eastAsia="仿宋_GB2312" w:hAnsiTheme="minorEastAsia"/>
          <w:kern w:val="0"/>
          <w:sz w:val="32"/>
          <w:szCs w:val="32"/>
        </w:rPr>
        <w:t>茂名艺宝珠宝制造有限公司2024年12月委托广东环科技术咨询有限公司完成了《茂名艺宝珠宝制造有限公司年产0.18吨珠宝首饰建设项目</w:t>
      </w:r>
      <w:r>
        <w:rPr>
          <w:rFonts w:ascii="仿宋_GB2312" w:eastAsia="仿宋_GB2312" w:hAnsiTheme="minorEastAsia"/>
          <w:kern w:val="0"/>
          <w:sz w:val="32"/>
          <w:szCs w:val="32"/>
        </w:rPr>
        <w:t>环境影响报告表</w:t>
      </w:r>
      <w:r>
        <w:rPr>
          <w:rFonts w:hint="eastAsia" w:ascii="仿宋_GB2312" w:eastAsia="仿宋_GB2312" w:hAnsiTheme="minorEastAsia"/>
          <w:kern w:val="0"/>
          <w:sz w:val="32"/>
          <w:szCs w:val="32"/>
        </w:rPr>
        <w:t>》的编制并送审，</w:t>
      </w:r>
      <w:r>
        <w:rPr>
          <w:rFonts w:ascii="仿宋_GB2312" w:eastAsia="仿宋_GB2312" w:hAnsiTheme="minorEastAsia"/>
          <w:kern w:val="0"/>
          <w:sz w:val="32"/>
          <w:szCs w:val="32"/>
        </w:rPr>
        <w:t>20</w:t>
      </w:r>
      <w:r>
        <w:rPr>
          <w:rFonts w:hint="eastAsia" w:ascii="仿宋_GB2312" w:eastAsia="仿宋_GB2312" w:hAnsiTheme="minorEastAsia"/>
          <w:kern w:val="0"/>
          <w:sz w:val="32"/>
          <w:szCs w:val="32"/>
        </w:rPr>
        <w:t>25</w:t>
      </w:r>
      <w:r>
        <w:rPr>
          <w:rFonts w:ascii="仿宋_GB2312" w:eastAsia="仿宋_GB2312" w:hAnsiTheme="minorEastAsia"/>
          <w:kern w:val="0"/>
          <w:sz w:val="32"/>
          <w:szCs w:val="32"/>
        </w:rPr>
        <w:t>年</w:t>
      </w:r>
      <w:r>
        <w:rPr>
          <w:rFonts w:hint="eastAsia" w:ascii="仿宋_GB2312" w:eastAsia="仿宋_GB2312" w:hAnsiTheme="minorEastAsia"/>
          <w:kern w:val="0"/>
          <w:sz w:val="32"/>
          <w:szCs w:val="32"/>
        </w:rPr>
        <w:t>1</w:t>
      </w:r>
      <w:r>
        <w:rPr>
          <w:rFonts w:ascii="仿宋_GB2312" w:eastAsia="仿宋_GB2312" w:hAnsiTheme="minorEastAsia"/>
          <w:kern w:val="0"/>
          <w:sz w:val="32"/>
          <w:szCs w:val="32"/>
        </w:rPr>
        <w:t>月</w:t>
      </w:r>
      <w:r>
        <w:rPr>
          <w:rFonts w:hint="eastAsia" w:ascii="仿宋_GB2312" w:eastAsia="仿宋_GB2312" w:hAnsiTheme="minorEastAsia"/>
          <w:kern w:val="0"/>
          <w:sz w:val="32"/>
          <w:szCs w:val="32"/>
        </w:rPr>
        <w:t>21</w:t>
      </w:r>
      <w:r>
        <w:rPr>
          <w:rFonts w:ascii="仿宋_GB2312" w:eastAsia="仿宋_GB2312" w:hAnsiTheme="minorEastAsia"/>
          <w:kern w:val="0"/>
          <w:sz w:val="32"/>
          <w:szCs w:val="32"/>
        </w:rPr>
        <w:t>日</w:t>
      </w:r>
      <w:r>
        <w:rPr>
          <w:rFonts w:hint="eastAsia" w:ascii="仿宋_GB2312" w:eastAsia="仿宋_GB2312" w:hAnsiTheme="minorEastAsia"/>
          <w:kern w:val="0"/>
          <w:sz w:val="32"/>
          <w:szCs w:val="32"/>
        </w:rPr>
        <w:t>通过茂名市生态环境局电白分局</w:t>
      </w:r>
      <w:r>
        <w:rPr>
          <w:rFonts w:ascii="仿宋_GB2312" w:eastAsia="仿宋_GB2312" w:hAnsiTheme="minorEastAsia"/>
          <w:kern w:val="0"/>
          <w:sz w:val="32"/>
          <w:szCs w:val="32"/>
        </w:rPr>
        <w:t>审批</w:t>
      </w:r>
      <w:r>
        <w:rPr>
          <w:rFonts w:hint="eastAsia" w:ascii="仿宋_GB2312" w:eastAsia="仿宋_GB2312" w:hAnsiTheme="minorEastAsia"/>
          <w:kern w:val="0"/>
          <w:sz w:val="32"/>
          <w:szCs w:val="32"/>
        </w:rPr>
        <w:t>，取得了《关于茂名艺宝珠宝制造有限公司年产0.18吨珠宝首饰建设项目环境影响报告表的批复》（</w:t>
      </w:r>
      <w:bookmarkStart w:id="1" w:name="_Hlk48036698"/>
      <w:r>
        <w:rPr>
          <w:rFonts w:hint="eastAsia" w:ascii="仿宋_GB2312" w:eastAsia="仿宋_GB2312" w:hAnsiTheme="minorEastAsia"/>
          <w:kern w:val="0"/>
          <w:sz w:val="32"/>
          <w:szCs w:val="32"/>
        </w:rPr>
        <w:t>详见茂环（电白）审〔2025〕</w:t>
      </w:r>
      <w:r>
        <w:rPr>
          <w:rFonts w:ascii="仿宋_GB2312" w:eastAsia="仿宋_GB2312" w:hAnsiTheme="minorEastAsia"/>
          <w:kern w:val="0"/>
          <w:sz w:val="32"/>
          <w:szCs w:val="32"/>
        </w:rPr>
        <w:t>1号</w:t>
      </w:r>
      <w:bookmarkEnd w:id="1"/>
      <w:r>
        <w:rPr>
          <w:rFonts w:hint="eastAsia" w:ascii="仿宋_GB2312" w:eastAsia="仿宋_GB2312" w:hAnsiTheme="minorEastAsia"/>
          <w:kern w:val="0"/>
          <w:sz w:val="32"/>
          <w:szCs w:val="32"/>
        </w:rPr>
        <w:t>）。项目于2025年1月开工建设，2025年1月建成设备调试，项目从立项至调试过程中，无环境投诉、违法及处罚记录。</w:t>
      </w:r>
    </w:p>
    <w:p w14:paraId="56BF253F">
      <w:pPr>
        <w:spacing w:line="580" w:lineRule="exact"/>
        <w:ind w:firstLine="643" w:firstLineChars="200"/>
        <w:outlineLvl w:val="0"/>
        <w:rPr>
          <w:rFonts w:asciiTheme="minorEastAsia" w:hAnsiTheme="minorEastAsia" w:eastAsiaTheme="minorEastAsia"/>
          <w:b/>
          <w:kern w:val="0"/>
          <w:sz w:val="32"/>
          <w:szCs w:val="32"/>
        </w:rPr>
      </w:pPr>
      <w:r>
        <w:rPr>
          <w:rFonts w:hint="eastAsia" w:asciiTheme="minorEastAsia" w:hAnsiTheme="minorEastAsia" w:eastAsiaTheme="minorEastAsia"/>
          <w:b/>
          <w:kern w:val="0"/>
          <w:sz w:val="32"/>
          <w:szCs w:val="32"/>
        </w:rPr>
        <w:t>（三）投资情况</w:t>
      </w:r>
    </w:p>
    <w:p w14:paraId="61BE2509">
      <w:pPr>
        <w:spacing w:line="580" w:lineRule="exact"/>
        <w:ind w:firstLine="640" w:firstLineChars="200"/>
        <w:rPr>
          <w:rFonts w:ascii="仿宋_GB2312" w:eastAsia="仿宋_GB2312" w:hAnsiTheme="minorEastAsia"/>
          <w:kern w:val="0"/>
          <w:sz w:val="32"/>
          <w:szCs w:val="32"/>
        </w:rPr>
      </w:pPr>
      <w:r>
        <w:rPr>
          <w:rFonts w:hint="eastAsia" w:ascii="仿宋_GB2312" w:eastAsia="仿宋_GB2312" w:hAnsiTheme="minorEastAsia"/>
          <w:kern w:val="0"/>
          <w:sz w:val="32"/>
          <w:szCs w:val="32"/>
        </w:rPr>
        <w:t>项目实际总投资80万元，实际环保投资10万元，环保</w:t>
      </w:r>
      <w:r>
        <w:rPr>
          <w:rFonts w:ascii="仿宋_GB2312" w:eastAsia="仿宋_GB2312" w:hAnsiTheme="minorEastAsia"/>
          <w:kern w:val="0"/>
          <w:sz w:val="32"/>
          <w:szCs w:val="32"/>
        </w:rPr>
        <w:t>投资</w:t>
      </w:r>
      <w:r>
        <w:rPr>
          <w:rFonts w:hint="eastAsia" w:ascii="仿宋_GB2312" w:eastAsia="仿宋_GB2312" w:hAnsiTheme="minorEastAsia"/>
          <w:kern w:val="0"/>
          <w:sz w:val="32"/>
          <w:szCs w:val="32"/>
        </w:rPr>
        <w:t>约占总投资的12.5%。</w:t>
      </w:r>
    </w:p>
    <w:p w14:paraId="08ACB162">
      <w:pPr>
        <w:spacing w:line="580" w:lineRule="exact"/>
        <w:ind w:firstLine="643" w:firstLineChars="200"/>
        <w:outlineLvl w:val="0"/>
        <w:rPr>
          <w:rFonts w:asciiTheme="minorEastAsia" w:hAnsiTheme="minorEastAsia" w:eastAsiaTheme="minorEastAsia"/>
          <w:b/>
          <w:kern w:val="0"/>
          <w:sz w:val="32"/>
          <w:szCs w:val="32"/>
        </w:rPr>
      </w:pPr>
      <w:r>
        <w:rPr>
          <w:rFonts w:hint="eastAsia" w:asciiTheme="minorEastAsia" w:hAnsiTheme="minorEastAsia" w:eastAsiaTheme="minorEastAsia"/>
          <w:b/>
          <w:kern w:val="0"/>
          <w:sz w:val="32"/>
          <w:szCs w:val="32"/>
        </w:rPr>
        <w:t>（四）验收范围</w:t>
      </w:r>
    </w:p>
    <w:p w14:paraId="2CE29F67">
      <w:pPr>
        <w:spacing w:line="580" w:lineRule="exact"/>
        <w:ind w:firstLine="640" w:firstLineChars="200"/>
        <w:rPr>
          <w:rFonts w:ascii="仿宋_GB2312" w:eastAsia="仿宋_GB2312" w:hAnsiTheme="minorEastAsia"/>
          <w:kern w:val="0"/>
          <w:sz w:val="32"/>
          <w:szCs w:val="32"/>
        </w:rPr>
      </w:pPr>
      <w:r>
        <w:rPr>
          <w:rFonts w:hint="eastAsia" w:ascii="仿宋_GB2312" w:eastAsia="仿宋_GB2312" w:hAnsiTheme="minorEastAsia"/>
          <w:kern w:val="0"/>
          <w:sz w:val="32"/>
          <w:szCs w:val="32"/>
        </w:rPr>
        <w:t>本次验收范围为项目涉及的废水、废气、噪声、固废治理设施。</w:t>
      </w:r>
    </w:p>
    <w:p w14:paraId="0BDDEFDA">
      <w:pPr>
        <w:pStyle w:val="27"/>
        <w:spacing w:line="580" w:lineRule="exact"/>
        <w:ind w:left="641" w:firstLine="0" w:firstLineChars="0"/>
        <w:rPr>
          <w:rFonts w:asciiTheme="minorEastAsia" w:hAnsiTheme="minorEastAsia" w:eastAsiaTheme="minorEastAsia"/>
          <w:b/>
          <w:kern w:val="0"/>
          <w:sz w:val="32"/>
          <w:szCs w:val="32"/>
        </w:rPr>
      </w:pPr>
      <w:r>
        <w:rPr>
          <w:rFonts w:hint="eastAsia" w:asciiTheme="minorEastAsia" w:hAnsiTheme="minorEastAsia" w:eastAsiaTheme="minorEastAsia"/>
          <w:b/>
          <w:kern w:val="0"/>
          <w:sz w:val="32"/>
          <w:szCs w:val="32"/>
        </w:rPr>
        <w:t>二、工程变动情况</w:t>
      </w:r>
    </w:p>
    <w:p w14:paraId="47E299E8">
      <w:pPr>
        <w:ind w:firstLine="480"/>
        <w:rPr>
          <w:rFonts w:ascii="仿宋_GB2312" w:eastAsia="仿宋_GB2312" w:hAnsiTheme="minorEastAsia"/>
          <w:kern w:val="0"/>
          <w:sz w:val="32"/>
          <w:szCs w:val="32"/>
        </w:rPr>
      </w:pPr>
      <w:r>
        <w:rPr>
          <w:rFonts w:hint="eastAsia" w:ascii="仿宋_GB2312" w:eastAsia="仿宋_GB2312" w:hAnsiTheme="minorEastAsia"/>
          <w:kern w:val="0"/>
          <w:sz w:val="32"/>
          <w:szCs w:val="32"/>
        </w:rPr>
        <w:t>项目的</w:t>
      </w:r>
      <w:r>
        <w:rPr>
          <w:rFonts w:ascii="仿宋_GB2312" w:eastAsia="仿宋_GB2312" w:hAnsiTheme="minorEastAsia"/>
          <w:kern w:val="0"/>
          <w:sz w:val="32"/>
          <w:szCs w:val="32"/>
        </w:rPr>
        <w:t>性质、规模</w:t>
      </w:r>
      <w:r>
        <w:rPr>
          <w:rFonts w:hint="eastAsia" w:ascii="仿宋_GB2312" w:eastAsia="仿宋_GB2312" w:hAnsiTheme="minorEastAsia"/>
          <w:kern w:val="0"/>
          <w:sz w:val="32"/>
          <w:szCs w:val="32"/>
        </w:rPr>
        <w:t>、选址、生产工艺、环境保护措施与</w:t>
      </w:r>
      <w:r>
        <w:rPr>
          <w:rFonts w:ascii="仿宋_GB2312" w:eastAsia="仿宋_GB2312" w:hAnsiTheme="minorEastAsia"/>
          <w:kern w:val="0"/>
          <w:sz w:val="32"/>
          <w:szCs w:val="32"/>
        </w:rPr>
        <w:t>环评</w:t>
      </w:r>
      <w:r>
        <w:rPr>
          <w:rFonts w:hint="eastAsia" w:ascii="仿宋_GB2312" w:eastAsia="仿宋_GB2312" w:hAnsiTheme="minorEastAsia"/>
          <w:kern w:val="0"/>
          <w:sz w:val="32"/>
          <w:szCs w:val="32"/>
        </w:rPr>
        <w:t>基本</w:t>
      </w:r>
      <w:r>
        <w:rPr>
          <w:rFonts w:ascii="仿宋_GB2312" w:eastAsia="仿宋_GB2312" w:hAnsiTheme="minorEastAsia"/>
          <w:kern w:val="0"/>
          <w:sz w:val="32"/>
          <w:szCs w:val="32"/>
        </w:rPr>
        <w:t>一致，</w:t>
      </w:r>
      <w:r>
        <w:rPr>
          <w:rFonts w:hint="eastAsia" w:ascii="仿宋_GB2312" w:eastAsia="仿宋_GB2312" w:hAnsiTheme="minorEastAsia"/>
          <w:kern w:val="0"/>
          <w:sz w:val="32"/>
          <w:szCs w:val="32"/>
        </w:rPr>
        <w:t>无发生重大变动。</w:t>
      </w:r>
    </w:p>
    <w:p w14:paraId="1A744875">
      <w:pPr>
        <w:pStyle w:val="27"/>
        <w:spacing w:line="580" w:lineRule="exact"/>
        <w:ind w:left="641" w:firstLine="0" w:firstLineChars="0"/>
        <w:jc w:val="left"/>
        <w:rPr>
          <w:rFonts w:asciiTheme="minorEastAsia" w:hAnsiTheme="minorEastAsia" w:eastAsiaTheme="minorEastAsia"/>
          <w:b/>
          <w:kern w:val="0"/>
          <w:sz w:val="32"/>
          <w:szCs w:val="32"/>
        </w:rPr>
      </w:pPr>
      <w:r>
        <w:rPr>
          <w:rFonts w:hint="eastAsia" w:asciiTheme="minorEastAsia" w:hAnsiTheme="minorEastAsia" w:eastAsiaTheme="minorEastAsia"/>
          <w:b/>
          <w:kern w:val="0"/>
          <w:sz w:val="32"/>
          <w:szCs w:val="32"/>
        </w:rPr>
        <w:t>三、环境保护设施建设情况</w:t>
      </w:r>
    </w:p>
    <w:p w14:paraId="600FB2B6">
      <w:pPr>
        <w:spacing w:line="580" w:lineRule="exact"/>
        <w:ind w:firstLine="643" w:firstLineChars="200"/>
        <w:outlineLvl w:val="0"/>
        <w:rPr>
          <w:rFonts w:asciiTheme="minorEastAsia" w:hAnsiTheme="minorEastAsia" w:eastAsiaTheme="minorEastAsia"/>
          <w:b/>
          <w:kern w:val="0"/>
          <w:sz w:val="32"/>
          <w:szCs w:val="32"/>
        </w:rPr>
      </w:pPr>
      <w:r>
        <w:rPr>
          <w:rFonts w:hint="eastAsia" w:asciiTheme="minorEastAsia" w:hAnsiTheme="minorEastAsia" w:eastAsiaTheme="minorEastAsia"/>
          <w:b/>
          <w:kern w:val="0"/>
          <w:sz w:val="32"/>
          <w:szCs w:val="32"/>
        </w:rPr>
        <w:t>（一）废水</w:t>
      </w:r>
    </w:p>
    <w:p w14:paraId="6DAE8BB4">
      <w:pPr>
        <w:spacing w:line="580" w:lineRule="exact"/>
        <w:ind w:firstLine="640" w:firstLineChars="200"/>
        <w:rPr>
          <w:rFonts w:ascii="仿宋_GB2312" w:eastAsia="仿宋_GB2312" w:hAnsiTheme="minorEastAsia"/>
          <w:kern w:val="0"/>
          <w:sz w:val="32"/>
          <w:szCs w:val="32"/>
        </w:rPr>
      </w:pPr>
      <w:r>
        <w:rPr>
          <w:rFonts w:hint="eastAsia" w:ascii="仿宋_GB2312" w:eastAsia="仿宋_GB2312" w:hAnsiTheme="minorEastAsia"/>
          <w:kern w:val="0"/>
          <w:sz w:val="32"/>
          <w:szCs w:val="32"/>
        </w:rPr>
        <w:t>排放情况：本项目运营期间废水主要</w:t>
      </w:r>
      <w:r>
        <w:rPr>
          <w:rFonts w:ascii="仿宋_GB2312" w:eastAsia="仿宋_GB2312" w:hAnsiTheme="minorEastAsia"/>
          <w:kern w:val="0"/>
          <w:sz w:val="32"/>
          <w:szCs w:val="32"/>
        </w:rPr>
        <w:t>来自</w:t>
      </w:r>
      <w:r>
        <w:rPr>
          <w:rFonts w:hint="eastAsia" w:ascii="仿宋_GB2312" w:eastAsia="仿宋_GB2312" w:hAnsiTheme="minorEastAsia"/>
          <w:kern w:val="0"/>
          <w:sz w:val="32"/>
          <w:szCs w:val="32"/>
        </w:rPr>
        <w:t>生产清洗废水和员工生活污水。</w:t>
      </w:r>
    </w:p>
    <w:p w14:paraId="78E3B1D2">
      <w:pPr>
        <w:spacing w:line="580" w:lineRule="exact"/>
        <w:ind w:firstLine="640" w:firstLineChars="200"/>
        <w:rPr>
          <w:rFonts w:ascii="仿宋_GB2312" w:eastAsia="仿宋_GB2312" w:hAnsiTheme="minorEastAsia"/>
          <w:kern w:val="0"/>
          <w:sz w:val="32"/>
          <w:szCs w:val="32"/>
        </w:rPr>
      </w:pPr>
      <w:r>
        <w:rPr>
          <w:rFonts w:hint="eastAsia" w:ascii="仿宋_GB2312" w:eastAsia="仿宋_GB2312" w:hAnsiTheme="minorEastAsia"/>
          <w:kern w:val="0"/>
          <w:sz w:val="32"/>
          <w:szCs w:val="32"/>
        </w:rPr>
        <w:t>治理措施：生活污水经三级化粪池处理后通过市政污水管网送安乐水质净化厂处理排放；项目在倒模清洗工序、执模洗手工序、么打洗手工序、超声波清洗工序均设置网兜进行过滤，倒模清洗工序、执模洗手工序、么打洗手工序、超声波清洗废水经过滤沉淀后排入园区污水处理站处理，处理后通过市政污水管网送安乐水质净化厂处理排放。</w:t>
      </w:r>
    </w:p>
    <w:p w14:paraId="3A0B520C">
      <w:pPr>
        <w:spacing w:line="580" w:lineRule="exact"/>
        <w:ind w:firstLine="643" w:firstLineChars="200"/>
        <w:rPr>
          <w:rFonts w:asciiTheme="minorEastAsia" w:hAnsiTheme="minorEastAsia" w:eastAsiaTheme="minorEastAsia"/>
          <w:b/>
          <w:kern w:val="0"/>
          <w:sz w:val="32"/>
          <w:szCs w:val="32"/>
        </w:rPr>
      </w:pPr>
      <w:r>
        <w:rPr>
          <w:rFonts w:hint="eastAsia" w:asciiTheme="minorEastAsia" w:hAnsiTheme="minorEastAsia" w:eastAsiaTheme="minorEastAsia"/>
          <w:b/>
          <w:kern w:val="0"/>
          <w:sz w:val="32"/>
          <w:szCs w:val="32"/>
        </w:rPr>
        <w:t>（二）废气</w:t>
      </w:r>
    </w:p>
    <w:p w14:paraId="03975873">
      <w:pPr>
        <w:spacing w:line="580" w:lineRule="exact"/>
        <w:ind w:firstLine="640" w:firstLineChars="200"/>
        <w:rPr>
          <w:rFonts w:ascii="仿宋_GB2312" w:eastAsia="仿宋_GB2312" w:hAnsiTheme="minorEastAsia"/>
          <w:kern w:val="0"/>
          <w:sz w:val="32"/>
          <w:szCs w:val="32"/>
        </w:rPr>
      </w:pPr>
      <w:r>
        <w:rPr>
          <w:rFonts w:hint="eastAsia" w:ascii="仿宋_GB2312" w:eastAsia="仿宋_GB2312" w:hAnsiTheme="minorEastAsia"/>
          <w:kern w:val="0"/>
          <w:sz w:val="32"/>
          <w:szCs w:val="32"/>
        </w:rPr>
        <w:t>排放情况：本项目废气主要为生产过程产生的有机废气及执模、么打工序产生的金属粉尘</w:t>
      </w:r>
      <w:r>
        <w:rPr>
          <w:rFonts w:ascii="仿宋_GB2312" w:eastAsia="仿宋_GB2312" w:hAnsiTheme="minorEastAsia"/>
          <w:kern w:val="0"/>
          <w:sz w:val="32"/>
          <w:szCs w:val="32"/>
        </w:rPr>
        <w:t>。</w:t>
      </w:r>
    </w:p>
    <w:p w14:paraId="6B4887E1">
      <w:pPr>
        <w:spacing w:line="580" w:lineRule="exact"/>
        <w:ind w:firstLine="640" w:firstLineChars="200"/>
        <w:rPr>
          <w:rFonts w:ascii="仿宋_GB2312" w:eastAsia="仿宋_GB2312" w:hAnsiTheme="minorEastAsia"/>
          <w:kern w:val="0"/>
          <w:sz w:val="32"/>
          <w:szCs w:val="32"/>
        </w:rPr>
      </w:pPr>
      <w:r>
        <w:rPr>
          <w:rFonts w:hint="eastAsia" w:ascii="仿宋_GB2312" w:eastAsia="仿宋_GB2312" w:hAnsiTheme="minorEastAsia"/>
          <w:kern w:val="0"/>
          <w:sz w:val="32"/>
          <w:szCs w:val="32"/>
        </w:rPr>
        <w:t xml:space="preserve">治理措施：①倒模、清洗工序废气经收集后引至楼顶依托产业园区的 </w:t>
      </w:r>
      <w:r>
        <w:rPr>
          <w:rFonts w:ascii="仿宋_GB2312" w:eastAsia="仿宋_GB2312" w:hAnsiTheme="minorEastAsia"/>
          <w:kern w:val="0"/>
          <w:sz w:val="32"/>
          <w:szCs w:val="32"/>
        </w:rPr>
        <w:t>1</w:t>
      </w:r>
      <w:r>
        <w:rPr>
          <w:rFonts w:hint="eastAsia" w:ascii="仿宋_GB2312" w:eastAsia="仿宋_GB2312" w:hAnsiTheme="minorEastAsia"/>
          <w:kern w:val="0"/>
          <w:sz w:val="32"/>
          <w:szCs w:val="32"/>
        </w:rPr>
        <w:t>#“水喷淋+活性炭吸附+UV光解”装置处理后经排气筒排放。②超声波清洗工序废气经收集引至楼顶依托产业园区的2#“水喷淋+活性炭吸附+UV光解”装置处理后通过排气筒排放。③执模、么打工序产生的金属粉尘，此类粉尘比重大，较易沉降，且为金等贵金属，在各工作台均设有布袋集尘装置回收，并交回收发部回用。</w:t>
      </w:r>
    </w:p>
    <w:p w14:paraId="096BD088">
      <w:pPr>
        <w:spacing w:line="580" w:lineRule="exact"/>
        <w:ind w:firstLine="643" w:firstLineChars="200"/>
        <w:rPr>
          <w:rFonts w:asciiTheme="minorEastAsia" w:hAnsiTheme="minorEastAsia" w:eastAsiaTheme="minorEastAsia"/>
          <w:b/>
          <w:kern w:val="0"/>
          <w:sz w:val="32"/>
          <w:szCs w:val="32"/>
        </w:rPr>
      </w:pPr>
      <w:r>
        <w:rPr>
          <w:rFonts w:hint="eastAsia" w:asciiTheme="minorEastAsia" w:hAnsiTheme="minorEastAsia" w:eastAsiaTheme="minorEastAsia"/>
          <w:b/>
          <w:kern w:val="0"/>
          <w:sz w:val="32"/>
          <w:szCs w:val="32"/>
        </w:rPr>
        <w:t>（三）噪声</w:t>
      </w:r>
    </w:p>
    <w:p w14:paraId="37DF176C">
      <w:pPr>
        <w:spacing w:line="580" w:lineRule="exact"/>
        <w:ind w:firstLine="640" w:firstLineChars="200"/>
        <w:rPr>
          <w:rFonts w:ascii="仿宋_GB2312" w:eastAsia="仿宋_GB2312" w:hAnsiTheme="minorEastAsia"/>
          <w:kern w:val="0"/>
          <w:sz w:val="32"/>
          <w:szCs w:val="32"/>
        </w:rPr>
      </w:pPr>
      <w:r>
        <w:rPr>
          <w:rFonts w:hint="eastAsia" w:ascii="仿宋_GB2312" w:eastAsia="仿宋_GB2312" w:hAnsiTheme="minorEastAsia"/>
          <w:kern w:val="0"/>
          <w:sz w:val="32"/>
          <w:szCs w:val="32"/>
        </w:rPr>
        <w:t>排放情况：项目噪声主要是设备运行过程中产生的机械噪声以及搬运设备、物品时碰撞产生的噪声。</w:t>
      </w:r>
    </w:p>
    <w:p w14:paraId="5A7B344C">
      <w:pPr>
        <w:spacing w:line="580" w:lineRule="exact"/>
        <w:ind w:firstLine="640" w:firstLineChars="200"/>
        <w:rPr>
          <w:rFonts w:ascii="仿宋_GB2312" w:eastAsia="仿宋_GB2312" w:hAnsiTheme="minorEastAsia"/>
          <w:kern w:val="0"/>
          <w:sz w:val="32"/>
          <w:szCs w:val="32"/>
        </w:rPr>
      </w:pPr>
      <w:r>
        <w:rPr>
          <w:rFonts w:hint="eastAsia" w:ascii="仿宋_GB2312" w:eastAsia="仿宋_GB2312" w:hAnsiTheme="minorEastAsia"/>
          <w:kern w:val="0"/>
          <w:sz w:val="32"/>
          <w:szCs w:val="32"/>
        </w:rPr>
        <w:t>治理措施：①设备选择低噪声设备。②对厂区各产生高噪声的设备进行合理布局，使高噪声的设备远离厂区边界。③对高噪声的机械设备设施设置减震弹簧、减震垫等减震处理，对设备设置减震基底、消音处理、阻尼材料减震及墙壁阻隔等措施，并加强管理，加强设备的检修保养，防止不良工况的故障噪声产生，保证设备正常运行。④加强高噪声设备所在车间的密封性，有效削减噪声对外界的贡献值，减少对周边环境的影响。⑤定时组织车间内工作人员工作指导教育，宣传降低噪声对自身影响的措施，加强管理，做好职工上岗前培训。</w:t>
      </w:r>
    </w:p>
    <w:p w14:paraId="4C15E462">
      <w:pPr>
        <w:spacing w:line="580" w:lineRule="exact"/>
        <w:ind w:firstLine="643" w:firstLineChars="200"/>
        <w:rPr>
          <w:rFonts w:asciiTheme="minorEastAsia" w:hAnsiTheme="minorEastAsia" w:eastAsiaTheme="minorEastAsia"/>
          <w:b/>
          <w:kern w:val="0"/>
          <w:sz w:val="32"/>
          <w:szCs w:val="32"/>
        </w:rPr>
      </w:pPr>
      <w:r>
        <w:rPr>
          <w:rFonts w:hint="eastAsia" w:asciiTheme="minorEastAsia" w:hAnsiTheme="minorEastAsia" w:eastAsiaTheme="minorEastAsia"/>
          <w:b/>
          <w:kern w:val="0"/>
          <w:sz w:val="32"/>
          <w:szCs w:val="32"/>
        </w:rPr>
        <w:t>（四）固体废物</w:t>
      </w:r>
    </w:p>
    <w:p w14:paraId="4337B065">
      <w:pPr>
        <w:spacing w:line="580" w:lineRule="exact"/>
        <w:ind w:firstLine="640" w:firstLineChars="200"/>
        <w:rPr>
          <w:rFonts w:ascii="仿宋_GB2312" w:eastAsia="仿宋_GB2312" w:hAnsiTheme="minorEastAsia"/>
          <w:kern w:val="0"/>
          <w:sz w:val="32"/>
          <w:szCs w:val="32"/>
        </w:rPr>
      </w:pPr>
      <w:r>
        <w:rPr>
          <w:rFonts w:hint="eastAsia" w:ascii="仿宋_GB2312" w:eastAsia="仿宋_GB2312" w:hAnsiTheme="minorEastAsia"/>
          <w:kern w:val="0"/>
          <w:sz w:val="32"/>
          <w:szCs w:val="32"/>
        </w:rPr>
        <w:t>排放情况：</w:t>
      </w:r>
      <w:bookmarkStart w:id="2" w:name="_Hlk153458344"/>
      <w:r>
        <w:rPr>
          <w:rFonts w:hint="eastAsia" w:ascii="仿宋_GB2312" w:eastAsia="仿宋_GB2312" w:hAnsiTheme="minorEastAsia"/>
          <w:kern w:val="0"/>
          <w:sz w:val="32"/>
          <w:szCs w:val="32"/>
        </w:rPr>
        <w:t>项目产生的固体废物主要为废包装材料、过滤废渣、废石膏、废石蜡、废金属边角料、金属粉尘、废天那水桶、废白电油桶、废乙醇瓶、废硼砂包装材料、生活垃圾等。</w:t>
      </w:r>
      <w:bookmarkEnd w:id="2"/>
    </w:p>
    <w:p w14:paraId="70F689B9">
      <w:pPr>
        <w:spacing w:line="580" w:lineRule="exact"/>
        <w:ind w:firstLine="640" w:firstLineChars="200"/>
        <w:rPr>
          <w:rFonts w:ascii="仿宋_GB2312" w:eastAsia="仿宋_GB2312" w:hAnsiTheme="minorEastAsia"/>
          <w:kern w:val="0"/>
          <w:sz w:val="32"/>
          <w:szCs w:val="32"/>
        </w:rPr>
      </w:pPr>
      <w:r>
        <w:rPr>
          <w:rFonts w:hint="eastAsia" w:ascii="仿宋_GB2312" w:eastAsia="仿宋_GB2312" w:hAnsiTheme="minorEastAsia"/>
          <w:kern w:val="0"/>
          <w:sz w:val="32"/>
          <w:szCs w:val="32"/>
        </w:rPr>
        <w:t>治理措施：过滤废渣收集后交由物资回收公司回收；废石膏、废石蜡收集后交由专业公司处理；废金属边角料、金属粉尘收集后交回收发部回收；废天那水桶、废白电油桶、废乙醇瓶、废硼砂包装材料收集于</w:t>
      </w:r>
      <w:r>
        <w:rPr>
          <w:rFonts w:ascii="仿宋_GB2312" w:eastAsia="仿宋_GB2312" w:hAnsiTheme="minorEastAsia"/>
          <w:kern w:val="0"/>
          <w:sz w:val="32"/>
          <w:szCs w:val="32"/>
        </w:rPr>
        <w:t>危废暂存间</w:t>
      </w:r>
      <w:r>
        <w:rPr>
          <w:rFonts w:hint="eastAsia" w:ascii="仿宋_GB2312" w:eastAsia="仿宋_GB2312" w:hAnsiTheme="minorEastAsia"/>
          <w:kern w:val="0"/>
          <w:sz w:val="32"/>
          <w:szCs w:val="32"/>
        </w:rPr>
        <w:t>后交由有资质单位处理；生活垃圾由环卫部统一清运。</w:t>
      </w:r>
    </w:p>
    <w:p w14:paraId="621DAF99">
      <w:pPr>
        <w:spacing w:line="580" w:lineRule="exact"/>
        <w:ind w:firstLine="643" w:firstLineChars="200"/>
        <w:outlineLvl w:val="0"/>
        <w:rPr>
          <w:rFonts w:asciiTheme="minorEastAsia" w:hAnsiTheme="minorEastAsia" w:eastAsiaTheme="minorEastAsia"/>
          <w:b/>
          <w:kern w:val="0"/>
          <w:sz w:val="32"/>
          <w:szCs w:val="32"/>
        </w:rPr>
      </w:pPr>
      <w:r>
        <w:rPr>
          <w:rFonts w:hint="eastAsia" w:asciiTheme="minorEastAsia" w:hAnsiTheme="minorEastAsia" w:eastAsiaTheme="minorEastAsia"/>
          <w:b/>
          <w:kern w:val="0"/>
          <w:sz w:val="32"/>
          <w:szCs w:val="32"/>
        </w:rPr>
        <w:t>（五）辐射</w:t>
      </w:r>
    </w:p>
    <w:p w14:paraId="477AA231">
      <w:pPr>
        <w:spacing w:line="580" w:lineRule="exact"/>
        <w:ind w:firstLine="640" w:firstLineChars="200"/>
        <w:rPr>
          <w:rFonts w:ascii="仿宋_GB2312" w:eastAsia="仿宋_GB2312" w:hAnsiTheme="minorEastAsia"/>
          <w:kern w:val="0"/>
          <w:sz w:val="32"/>
          <w:szCs w:val="32"/>
        </w:rPr>
      </w:pPr>
      <w:r>
        <w:rPr>
          <w:rFonts w:hint="eastAsia" w:ascii="仿宋_GB2312" w:eastAsia="仿宋_GB2312" w:hAnsiTheme="minorEastAsia"/>
          <w:kern w:val="0"/>
          <w:sz w:val="32"/>
          <w:szCs w:val="32"/>
        </w:rPr>
        <w:t>不涉及。</w:t>
      </w:r>
    </w:p>
    <w:p w14:paraId="4F0D4D6C">
      <w:pPr>
        <w:spacing w:line="580" w:lineRule="exact"/>
        <w:ind w:firstLine="643" w:firstLineChars="200"/>
        <w:outlineLvl w:val="0"/>
        <w:rPr>
          <w:rFonts w:asciiTheme="minorEastAsia" w:hAnsiTheme="minorEastAsia" w:eastAsiaTheme="minorEastAsia"/>
          <w:b/>
          <w:kern w:val="0"/>
          <w:sz w:val="32"/>
          <w:szCs w:val="32"/>
        </w:rPr>
      </w:pPr>
      <w:r>
        <w:rPr>
          <w:rFonts w:hint="eastAsia" w:asciiTheme="minorEastAsia" w:hAnsiTheme="minorEastAsia" w:eastAsiaTheme="minorEastAsia"/>
          <w:b/>
          <w:kern w:val="0"/>
          <w:sz w:val="32"/>
          <w:szCs w:val="32"/>
        </w:rPr>
        <w:t>（六）其他环境保护设施</w:t>
      </w:r>
    </w:p>
    <w:p w14:paraId="47A1FF17">
      <w:pPr>
        <w:spacing w:line="580" w:lineRule="exact"/>
        <w:ind w:firstLine="640" w:firstLineChars="200"/>
        <w:rPr>
          <w:rFonts w:ascii="仿宋_GB2312" w:eastAsia="仿宋_GB2312" w:cs="宋体" w:hAnsiTheme="minorEastAsia"/>
          <w:kern w:val="0"/>
          <w:sz w:val="32"/>
          <w:szCs w:val="32"/>
        </w:rPr>
      </w:pPr>
      <w:r>
        <w:rPr>
          <w:rFonts w:ascii="仿宋_GB2312" w:eastAsia="仿宋_GB2312" w:cs="宋体" w:hAnsiTheme="minorEastAsia"/>
          <w:kern w:val="0"/>
          <w:sz w:val="32"/>
          <w:szCs w:val="32"/>
        </w:rPr>
        <w:t>1.</w:t>
      </w:r>
      <w:r>
        <w:rPr>
          <w:rFonts w:hint="eastAsia" w:ascii="仿宋_GB2312" w:eastAsia="仿宋_GB2312" w:cs="宋体" w:hAnsiTheme="minorEastAsia"/>
          <w:kern w:val="0"/>
          <w:sz w:val="32"/>
          <w:szCs w:val="32"/>
        </w:rPr>
        <w:t>环境风险防范设施</w:t>
      </w:r>
    </w:p>
    <w:p w14:paraId="02B2A70B">
      <w:pPr>
        <w:spacing w:line="580" w:lineRule="exact"/>
        <w:ind w:firstLine="640" w:firstLineChars="200"/>
        <w:rPr>
          <w:rFonts w:ascii="仿宋_GB2312" w:eastAsia="仿宋_GB2312" w:cs="宋体" w:hAnsiTheme="minorEastAsia"/>
          <w:kern w:val="0"/>
          <w:sz w:val="32"/>
          <w:szCs w:val="32"/>
        </w:rPr>
      </w:pPr>
      <w:r>
        <w:rPr>
          <w:rFonts w:hint="eastAsia" w:ascii="仿宋_GB2312" w:eastAsia="仿宋_GB2312" w:cs="宋体" w:hAnsiTheme="minorEastAsia"/>
          <w:kern w:val="0"/>
          <w:sz w:val="32"/>
          <w:szCs w:val="32"/>
        </w:rPr>
        <w:t>①根据消防要求在车间配备灭火器、消火栓等消防设备，储备一定量的沙袋、消防沙、吸附棉等消防物资，定期对消防设备、物资进行检查，确保能正常使用；②加强管理，车间设置醒目的严禁烟火标志，禁止在车间内动用明火；③对生产过程中产生的危险废物，分类收集，分别包装临时储存，定期交有相应类别处理资质的单位处理；④加强废气治理设施的日常管理和维护，安排专职或兼职人员负责，并建立台账管理制度，确保废气治理系统的正常稳定运行，建立废气治理系统操作规程，并严格执行，当废气治理系统出现故障时，应立即停止作业，待废气治理系统正常运行时，方可重新进行作业；⑤厂内成立事故应急小组，由厂长负责，发生风险事故及时上报有关部门，加强员工的安全生产和环境风险防范意识，提高员工的岗位操作技能，定期组织员工进行应急培训教育；⑥事故发生时，救援人员必须佩戴理性的防毒过滤面具，同时穿好工作服，迅速判明事故当时的风向，可利用风标、旗帜等辨明风向，向上风向撤离，尽可能向侧、逆风向转移；确认最近敏感点的位置，在迅速采取应急措施的情况下，敏感点区域的人员需在一定的时间进行撤离和防护。⑦所在园区设置397m³事故应急池，位于园区污水处理站旁，本项目不涉及大量易燃易爆风险物质，厂区按照相关规范配置灭火设施及消防设施，当发生火灾时，项目消防废水可暂存到园区事故应急池中暂存，消防废水收集后运至有资质单位处理，不对外排放，可确保项目消防废水不排出园区外。</w:t>
      </w:r>
    </w:p>
    <w:p w14:paraId="10A7E047">
      <w:pPr>
        <w:spacing w:line="580" w:lineRule="exact"/>
        <w:ind w:firstLine="640" w:firstLineChars="200"/>
        <w:rPr>
          <w:rFonts w:ascii="仿宋_GB2312" w:eastAsia="仿宋_GB2312" w:cs="宋体" w:hAnsiTheme="minorEastAsia"/>
          <w:kern w:val="0"/>
          <w:sz w:val="32"/>
          <w:szCs w:val="32"/>
        </w:rPr>
      </w:pPr>
      <w:r>
        <w:rPr>
          <w:rFonts w:hint="eastAsia" w:ascii="仿宋_GB2312" w:eastAsia="仿宋_GB2312" w:cs="宋体" w:hAnsiTheme="minorEastAsia"/>
          <w:kern w:val="0"/>
          <w:sz w:val="32"/>
          <w:szCs w:val="32"/>
        </w:rPr>
        <w:t>（4）在线监测装置</w:t>
      </w:r>
    </w:p>
    <w:p w14:paraId="5BF12918">
      <w:pPr>
        <w:pStyle w:val="27"/>
        <w:spacing w:line="580" w:lineRule="exact"/>
        <w:ind w:firstLine="640"/>
        <w:rPr>
          <w:rFonts w:ascii="仿宋_GB2312" w:eastAsia="仿宋_GB2312" w:cs="宋体" w:hAnsiTheme="minorEastAsia"/>
          <w:kern w:val="0"/>
          <w:sz w:val="32"/>
          <w:szCs w:val="32"/>
        </w:rPr>
      </w:pPr>
      <w:r>
        <w:rPr>
          <w:rFonts w:hint="eastAsia" w:ascii="仿宋_GB2312" w:eastAsia="仿宋_GB2312" w:hAnsiTheme="minorEastAsia"/>
          <w:kern w:val="0"/>
          <w:sz w:val="32"/>
          <w:szCs w:val="32"/>
        </w:rPr>
        <w:t>项目</w:t>
      </w:r>
      <w:r>
        <w:rPr>
          <w:rFonts w:hint="eastAsia" w:ascii="仿宋_GB2312" w:eastAsia="仿宋_GB2312" w:cs="宋体" w:hAnsiTheme="minorEastAsia"/>
          <w:kern w:val="0"/>
          <w:sz w:val="32"/>
          <w:szCs w:val="32"/>
        </w:rPr>
        <w:t>不设在线监测装置。</w:t>
      </w:r>
    </w:p>
    <w:p w14:paraId="03926AB1">
      <w:pPr>
        <w:pStyle w:val="27"/>
        <w:spacing w:line="580" w:lineRule="exact"/>
        <w:ind w:left="641" w:firstLine="0" w:firstLineChars="0"/>
        <w:jc w:val="left"/>
        <w:rPr>
          <w:rFonts w:asciiTheme="minorEastAsia" w:hAnsiTheme="minorEastAsia" w:eastAsiaTheme="minorEastAsia"/>
          <w:b/>
          <w:kern w:val="0"/>
          <w:sz w:val="32"/>
          <w:szCs w:val="32"/>
        </w:rPr>
      </w:pPr>
      <w:r>
        <w:rPr>
          <w:rFonts w:hint="eastAsia" w:asciiTheme="minorEastAsia" w:hAnsiTheme="minorEastAsia" w:eastAsiaTheme="minorEastAsia"/>
          <w:b/>
          <w:kern w:val="0"/>
          <w:sz w:val="32"/>
          <w:szCs w:val="32"/>
        </w:rPr>
        <w:t>四、环境保护设施调试效果</w:t>
      </w:r>
    </w:p>
    <w:p w14:paraId="798E88BB">
      <w:pPr>
        <w:spacing w:line="580" w:lineRule="exact"/>
        <w:ind w:firstLine="643" w:firstLineChars="200"/>
        <w:outlineLvl w:val="0"/>
        <w:rPr>
          <w:rFonts w:asciiTheme="minorEastAsia" w:hAnsiTheme="minorEastAsia" w:eastAsiaTheme="minorEastAsia"/>
          <w:b/>
          <w:kern w:val="0"/>
          <w:sz w:val="32"/>
          <w:szCs w:val="32"/>
        </w:rPr>
      </w:pPr>
      <w:r>
        <w:rPr>
          <w:rFonts w:hint="eastAsia" w:asciiTheme="minorEastAsia" w:hAnsiTheme="minorEastAsia" w:eastAsiaTheme="minorEastAsia"/>
          <w:b/>
          <w:kern w:val="0"/>
          <w:sz w:val="32"/>
          <w:szCs w:val="32"/>
        </w:rPr>
        <w:t>（一）环保设施处理效率</w:t>
      </w:r>
    </w:p>
    <w:p w14:paraId="38E457B7">
      <w:pPr>
        <w:spacing w:line="580" w:lineRule="exact"/>
        <w:ind w:firstLine="640" w:firstLineChars="200"/>
        <w:rPr>
          <w:rFonts w:ascii="仿宋_GB2312" w:eastAsia="仿宋_GB2312" w:cs="宋体" w:hAnsiTheme="minorEastAsia"/>
          <w:kern w:val="0"/>
          <w:sz w:val="32"/>
          <w:szCs w:val="32"/>
        </w:rPr>
      </w:pPr>
      <w:r>
        <w:rPr>
          <w:rFonts w:hint="eastAsia" w:ascii="仿宋_GB2312" w:eastAsia="仿宋_GB2312" w:cs="宋体" w:hAnsiTheme="minorEastAsia"/>
          <w:kern w:val="0"/>
          <w:sz w:val="32"/>
          <w:szCs w:val="32"/>
        </w:rPr>
        <w:t>根据项目环评报告及批复，不对项目废水作去除效率要求。</w:t>
      </w:r>
    </w:p>
    <w:p w14:paraId="5DE34B58">
      <w:pPr>
        <w:spacing w:line="580" w:lineRule="exact"/>
        <w:ind w:firstLine="643" w:firstLineChars="200"/>
        <w:rPr>
          <w:rFonts w:asciiTheme="minorEastAsia" w:hAnsiTheme="minorEastAsia" w:eastAsiaTheme="minorEastAsia"/>
          <w:b/>
          <w:kern w:val="0"/>
          <w:sz w:val="32"/>
          <w:szCs w:val="32"/>
        </w:rPr>
      </w:pPr>
      <w:r>
        <w:rPr>
          <w:rFonts w:hint="eastAsia" w:asciiTheme="minorEastAsia" w:hAnsiTheme="minorEastAsia" w:eastAsiaTheme="minorEastAsia"/>
          <w:b/>
          <w:kern w:val="0"/>
          <w:sz w:val="32"/>
          <w:szCs w:val="32"/>
        </w:rPr>
        <w:t>（二）污染物排放情况</w:t>
      </w:r>
    </w:p>
    <w:p w14:paraId="78789CEC">
      <w:pPr>
        <w:spacing w:line="580" w:lineRule="exact"/>
        <w:ind w:firstLine="640" w:firstLineChars="200"/>
        <w:rPr>
          <w:rFonts w:ascii="仿宋_GB2312" w:eastAsia="仿宋_GB2312" w:hAnsiTheme="minorEastAsia"/>
          <w:kern w:val="0"/>
          <w:sz w:val="32"/>
          <w:szCs w:val="32"/>
        </w:rPr>
      </w:pPr>
      <w:r>
        <w:rPr>
          <w:rFonts w:ascii="仿宋_GB2312" w:eastAsia="仿宋_GB2312" w:hAnsiTheme="minorEastAsia"/>
          <w:kern w:val="0"/>
          <w:sz w:val="32"/>
          <w:szCs w:val="32"/>
        </w:rPr>
        <w:t>1.</w:t>
      </w:r>
      <w:r>
        <w:rPr>
          <w:rFonts w:hint="eastAsia" w:ascii="仿宋_GB2312" w:eastAsia="仿宋_GB2312" w:hAnsiTheme="minorEastAsia"/>
          <w:kern w:val="0"/>
          <w:sz w:val="32"/>
          <w:szCs w:val="32"/>
        </w:rPr>
        <w:t>废水</w:t>
      </w:r>
    </w:p>
    <w:p w14:paraId="1DB1A879">
      <w:pPr>
        <w:spacing w:line="580" w:lineRule="exact"/>
        <w:ind w:firstLine="640" w:firstLineChars="200"/>
        <w:rPr>
          <w:rFonts w:ascii="仿宋_GB2312" w:eastAsia="仿宋_GB2312" w:cs="宋体" w:hAnsiTheme="minorEastAsia"/>
          <w:kern w:val="0"/>
          <w:sz w:val="32"/>
          <w:szCs w:val="32"/>
        </w:rPr>
      </w:pPr>
      <w:r>
        <w:rPr>
          <w:rFonts w:hint="eastAsia" w:ascii="仿宋_GB2312" w:eastAsia="仿宋_GB2312" w:cs="宋体" w:hAnsiTheme="minorEastAsia"/>
          <w:kern w:val="0"/>
          <w:sz w:val="32"/>
          <w:szCs w:val="32"/>
        </w:rPr>
        <w:t>监测结果表明，项目生产废水出水口废水污染物pH值为6</w:t>
      </w:r>
      <w:r>
        <w:rPr>
          <w:rFonts w:ascii="仿宋_GB2312" w:eastAsia="仿宋_GB2312" w:cs="宋体" w:hAnsiTheme="minorEastAsia"/>
          <w:kern w:val="0"/>
          <w:sz w:val="32"/>
          <w:szCs w:val="32"/>
        </w:rPr>
        <w:t>.0</w:t>
      </w:r>
      <w:r>
        <w:rPr>
          <w:rFonts w:hint="eastAsia" w:ascii="仿宋_GB2312" w:eastAsia="仿宋_GB2312" w:cs="宋体" w:hAnsiTheme="minorEastAsia"/>
          <w:kern w:val="0"/>
          <w:sz w:val="32"/>
          <w:szCs w:val="32"/>
        </w:rPr>
        <w:t>～7.2（无量纲）；氨氮日均浓度为1.04～1.49mg/L；化学需氧量日均浓度为15～29mg/L；石油类日均浓度为0.34～0.45mg/L；阴离子表面活性剂未检出；悬浮物日均浓度为15～22mg/L；总磷日均浓度为0.19～0.25mg/L；总氮日均浓度为1.3</w:t>
      </w:r>
      <w:r>
        <w:rPr>
          <w:rFonts w:ascii="仿宋_GB2312" w:eastAsia="仿宋_GB2312" w:cs="宋体" w:hAnsiTheme="minorEastAsia"/>
          <w:kern w:val="0"/>
          <w:sz w:val="32"/>
          <w:szCs w:val="32"/>
        </w:rPr>
        <w:t>0</w:t>
      </w:r>
      <w:r>
        <w:rPr>
          <w:rFonts w:hint="eastAsia" w:ascii="仿宋_GB2312" w:eastAsia="仿宋_GB2312" w:cs="宋体" w:hAnsiTheme="minorEastAsia"/>
          <w:kern w:val="0"/>
          <w:sz w:val="32"/>
          <w:szCs w:val="32"/>
        </w:rPr>
        <w:t>～1.66mg/L。</w:t>
      </w:r>
    </w:p>
    <w:p w14:paraId="167E367B">
      <w:pPr>
        <w:spacing w:line="580" w:lineRule="exact"/>
        <w:ind w:firstLine="640" w:firstLineChars="200"/>
        <w:rPr>
          <w:rFonts w:ascii="仿宋_GB2312" w:eastAsia="仿宋_GB2312" w:cs="宋体" w:hAnsiTheme="minorEastAsia"/>
          <w:kern w:val="0"/>
          <w:sz w:val="32"/>
          <w:szCs w:val="32"/>
        </w:rPr>
      </w:pPr>
      <w:r>
        <w:rPr>
          <w:rFonts w:hint="eastAsia" w:ascii="仿宋_GB2312" w:eastAsia="仿宋_GB2312" w:cs="宋体" w:hAnsiTheme="minorEastAsia"/>
          <w:kern w:val="0"/>
          <w:sz w:val="32"/>
          <w:szCs w:val="32"/>
        </w:rPr>
        <w:t>生活污水出水口废水污染物pH值的检出结果为6.2～6.7（无量纲），氨氮的检出结果为</w:t>
      </w:r>
      <w:r>
        <w:rPr>
          <w:rFonts w:ascii="仿宋_GB2312" w:eastAsia="仿宋_GB2312" w:cs="宋体" w:hAnsiTheme="minorEastAsia"/>
          <w:kern w:val="0"/>
          <w:sz w:val="32"/>
          <w:szCs w:val="32"/>
        </w:rPr>
        <w:t>18.3</w:t>
      </w:r>
      <w:r>
        <w:rPr>
          <w:rFonts w:hint="eastAsia" w:ascii="仿宋_GB2312" w:eastAsia="仿宋_GB2312" w:cs="宋体" w:hAnsiTheme="minorEastAsia"/>
          <w:kern w:val="0"/>
          <w:sz w:val="32"/>
          <w:szCs w:val="32"/>
        </w:rPr>
        <w:t>mg/L～</w:t>
      </w:r>
      <w:r>
        <w:rPr>
          <w:rFonts w:ascii="仿宋_GB2312" w:eastAsia="仿宋_GB2312" w:cs="宋体" w:hAnsiTheme="minorEastAsia"/>
          <w:kern w:val="0"/>
          <w:sz w:val="32"/>
          <w:szCs w:val="32"/>
        </w:rPr>
        <w:t>27.5</w:t>
      </w:r>
      <w:r>
        <w:rPr>
          <w:rFonts w:hint="eastAsia" w:ascii="仿宋_GB2312" w:eastAsia="仿宋_GB2312" w:cs="宋体" w:hAnsiTheme="minorEastAsia"/>
          <w:kern w:val="0"/>
          <w:sz w:val="32"/>
          <w:szCs w:val="32"/>
        </w:rPr>
        <w:t>mg/L，化学需氧量的检出结果为</w:t>
      </w:r>
      <w:r>
        <w:rPr>
          <w:rFonts w:ascii="仿宋_GB2312" w:eastAsia="仿宋_GB2312" w:cs="宋体" w:hAnsiTheme="minorEastAsia"/>
          <w:kern w:val="0"/>
          <w:sz w:val="32"/>
          <w:szCs w:val="32"/>
        </w:rPr>
        <w:t>127</w:t>
      </w:r>
      <w:r>
        <w:rPr>
          <w:rFonts w:hint="eastAsia" w:ascii="仿宋_GB2312" w:eastAsia="仿宋_GB2312" w:cs="宋体" w:hAnsiTheme="minorEastAsia"/>
          <w:kern w:val="0"/>
          <w:sz w:val="32"/>
          <w:szCs w:val="32"/>
        </w:rPr>
        <w:t>mg/L～</w:t>
      </w:r>
      <w:r>
        <w:rPr>
          <w:rFonts w:ascii="仿宋_GB2312" w:eastAsia="仿宋_GB2312" w:cs="宋体" w:hAnsiTheme="minorEastAsia"/>
          <w:kern w:val="0"/>
          <w:sz w:val="32"/>
          <w:szCs w:val="32"/>
        </w:rPr>
        <w:t>175</w:t>
      </w:r>
      <w:r>
        <w:rPr>
          <w:rFonts w:hint="eastAsia" w:ascii="仿宋_GB2312" w:eastAsia="仿宋_GB2312" w:cs="宋体" w:hAnsiTheme="minorEastAsia"/>
          <w:kern w:val="0"/>
          <w:sz w:val="32"/>
          <w:szCs w:val="32"/>
        </w:rPr>
        <w:t>mg/L，五日生化需氧量的检出结果为</w:t>
      </w:r>
      <w:r>
        <w:rPr>
          <w:rFonts w:ascii="仿宋_GB2312" w:eastAsia="仿宋_GB2312" w:cs="宋体" w:hAnsiTheme="minorEastAsia"/>
          <w:kern w:val="0"/>
          <w:sz w:val="32"/>
          <w:szCs w:val="32"/>
        </w:rPr>
        <w:t>39.8</w:t>
      </w:r>
      <w:r>
        <w:rPr>
          <w:rFonts w:hint="eastAsia" w:ascii="仿宋_GB2312" w:eastAsia="仿宋_GB2312" w:cs="宋体" w:hAnsiTheme="minorEastAsia"/>
          <w:kern w:val="0"/>
          <w:sz w:val="32"/>
          <w:szCs w:val="32"/>
        </w:rPr>
        <w:t>mg/L～</w:t>
      </w:r>
      <w:r>
        <w:rPr>
          <w:rFonts w:ascii="仿宋_GB2312" w:eastAsia="仿宋_GB2312" w:cs="宋体" w:hAnsiTheme="minorEastAsia"/>
          <w:kern w:val="0"/>
          <w:sz w:val="32"/>
          <w:szCs w:val="32"/>
        </w:rPr>
        <w:t>57.7</w:t>
      </w:r>
      <w:r>
        <w:rPr>
          <w:rFonts w:hint="eastAsia" w:ascii="仿宋_GB2312" w:eastAsia="仿宋_GB2312" w:cs="宋体" w:hAnsiTheme="minorEastAsia"/>
          <w:kern w:val="0"/>
          <w:sz w:val="32"/>
          <w:szCs w:val="32"/>
        </w:rPr>
        <w:t>mg/L，悬浮物的检出结果为</w:t>
      </w:r>
      <w:r>
        <w:rPr>
          <w:rFonts w:ascii="仿宋_GB2312" w:eastAsia="仿宋_GB2312" w:cs="宋体" w:hAnsiTheme="minorEastAsia"/>
          <w:kern w:val="0"/>
          <w:sz w:val="32"/>
          <w:szCs w:val="32"/>
        </w:rPr>
        <w:t>29</w:t>
      </w:r>
      <w:r>
        <w:rPr>
          <w:rFonts w:hint="eastAsia" w:ascii="仿宋_GB2312" w:eastAsia="仿宋_GB2312" w:cs="宋体" w:hAnsiTheme="minorEastAsia"/>
          <w:kern w:val="0"/>
          <w:sz w:val="32"/>
          <w:szCs w:val="32"/>
        </w:rPr>
        <w:t>mg/L～</w:t>
      </w:r>
      <w:r>
        <w:rPr>
          <w:rFonts w:ascii="仿宋_GB2312" w:eastAsia="仿宋_GB2312" w:cs="宋体" w:hAnsiTheme="minorEastAsia"/>
          <w:kern w:val="0"/>
          <w:sz w:val="32"/>
          <w:szCs w:val="32"/>
        </w:rPr>
        <w:t>41</w:t>
      </w:r>
      <w:r>
        <w:rPr>
          <w:rFonts w:hint="eastAsia" w:ascii="仿宋_GB2312" w:eastAsia="仿宋_GB2312" w:cs="宋体" w:hAnsiTheme="minorEastAsia"/>
          <w:kern w:val="0"/>
          <w:sz w:val="32"/>
          <w:szCs w:val="32"/>
        </w:rPr>
        <w:t>mg/L，总磷的检出结果为</w:t>
      </w:r>
      <w:r>
        <w:rPr>
          <w:rFonts w:ascii="仿宋_GB2312" w:eastAsia="仿宋_GB2312" w:cs="宋体" w:hAnsiTheme="minorEastAsia"/>
          <w:kern w:val="0"/>
          <w:sz w:val="32"/>
          <w:szCs w:val="32"/>
        </w:rPr>
        <w:t>2.98</w:t>
      </w:r>
      <w:r>
        <w:rPr>
          <w:rFonts w:hint="eastAsia" w:ascii="仿宋_GB2312" w:eastAsia="仿宋_GB2312" w:cs="宋体" w:hAnsiTheme="minorEastAsia"/>
          <w:kern w:val="0"/>
          <w:sz w:val="32"/>
          <w:szCs w:val="32"/>
        </w:rPr>
        <w:t>mg/L～</w:t>
      </w:r>
      <w:r>
        <w:rPr>
          <w:rFonts w:ascii="仿宋_GB2312" w:eastAsia="仿宋_GB2312" w:cs="宋体" w:hAnsiTheme="minorEastAsia"/>
          <w:kern w:val="0"/>
          <w:sz w:val="32"/>
          <w:szCs w:val="32"/>
        </w:rPr>
        <w:t>3.46</w:t>
      </w:r>
      <w:r>
        <w:rPr>
          <w:rFonts w:hint="eastAsia" w:ascii="仿宋_GB2312" w:eastAsia="仿宋_GB2312" w:cs="宋体" w:hAnsiTheme="minorEastAsia"/>
          <w:kern w:val="0"/>
          <w:sz w:val="32"/>
          <w:szCs w:val="32"/>
        </w:rPr>
        <w:t>mg/L，总氮的检出结果为</w:t>
      </w:r>
      <w:r>
        <w:rPr>
          <w:rFonts w:ascii="仿宋_GB2312" w:eastAsia="仿宋_GB2312" w:cs="宋体" w:hAnsiTheme="minorEastAsia"/>
          <w:kern w:val="0"/>
          <w:sz w:val="32"/>
          <w:szCs w:val="32"/>
        </w:rPr>
        <w:t>23.7</w:t>
      </w:r>
      <w:r>
        <w:rPr>
          <w:rFonts w:hint="eastAsia" w:ascii="仿宋_GB2312" w:eastAsia="仿宋_GB2312" w:cs="宋体" w:hAnsiTheme="minorEastAsia"/>
          <w:kern w:val="0"/>
          <w:sz w:val="32"/>
          <w:szCs w:val="32"/>
        </w:rPr>
        <w:t>mg/L～</w:t>
      </w:r>
      <w:r>
        <w:rPr>
          <w:rFonts w:ascii="仿宋_GB2312" w:eastAsia="仿宋_GB2312" w:cs="宋体" w:hAnsiTheme="minorEastAsia"/>
          <w:kern w:val="0"/>
          <w:sz w:val="32"/>
          <w:szCs w:val="32"/>
        </w:rPr>
        <w:t>32.0</w:t>
      </w:r>
      <w:r>
        <w:rPr>
          <w:rFonts w:hint="eastAsia" w:ascii="仿宋_GB2312" w:eastAsia="仿宋_GB2312" w:cs="宋体" w:hAnsiTheme="minorEastAsia"/>
          <w:kern w:val="0"/>
          <w:sz w:val="32"/>
          <w:szCs w:val="32"/>
        </w:rPr>
        <w:t>mg/L。</w:t>
      </w:r>
    </w:p>
    <w:p w14:paraId="57732635">
      <w:pPr>
        <w:spacing w:line="580" w:lineRule="exact"/>
        <w:ind w:firstLine="640" w:firstLineChars="200"/>
        <w:rPr>
          <w:rFonts w:ascii="仿宋_GB2312" w:eastAsia="仿宋_GB2312" w:cs="宋体" w:hAnsiTheme="minorEastAsia"/>
          <w:kern w:val="0"/>
          <w:sz w:val="32"/>
          <w:szCs w:val="32"/>
        </w:rPr>
      </w:pPr>
      <w:r>
        <w:rPr>
          <w:rFonts w:hint="eastAsia" w:ascii="仿宋_GB2312" w:eastAsia="仿宋_GB2312" w:cs="宋体" w:hAnsiTheme="minorEastAsia"/>
          <w:kern w:val="0"/>
          <w:sz w:val="32"/>
          <w:szCs w:val="32"/>
        </w:rPr>
        <w:t>项目废水排放口的废水监测结果符合广东省《水污染物排放限值》（DB44/26-2001）第二时段三级标准及园区污水处理站进水标准较严值要求。</w:t>
      </w:r>
    </w:p>
    <w:p w14:paraId="42B712D0">
      <w:pPr>
        <w:spacing w:line="580" w:lineRule="exact"/>
        <w:ind w:firstLine="640" w:firstLineChars="200"/>
        <w:rPr>
          <w:rFonts w:ascii="仿宋_GB2312" w:eastAsia="仿宋_GB2312" w:hAnsiTheme="minorEastAsia"/>
          <w:kern w:val="0"/>
          <w:sz w:val="32"/>
          <w:szCs w:val="32"/>
        </w:rPr>
      </w:pPr>
      <w:r>
        <w:rPr>
          <w:rFonts w:ascii="仿宋_GB2312" w:eastAsia="仿宋_GB2312" w:hAnsiTheme="minorEastAsia"/>
          <w:kern w:val="0"/>
          <w:sz w:val="32"/>
          <w:szCs w:val="32"/>
        </w:rPr>
        <w:t>2.</w:t>
      </w:r>
      <w:r>
        <w:rPr>
          <w:rFonts w:hint="eastAsia" w:ascii="仿宋_GB2312" w:eastAsia="仿宋_GB2312" w:hAnsiTheme="minorEastAsia"/>
          <w:kern w:val="0"/>
          <w:sz w:val="32"/>
          <w:szCs w:val="32"/>
        </w:rPr>
        <w:t>废气</w:t>
      </w:r>
    </w:p>
    <w:p w14:paraId="419140EA">
      <w:pPr>
        <w:spacing w:line="560" w:lineRule="exact"/>
        <w:ind w:firstLine="640" w:firstLineChars="200"/>
        <w:rPr>
          <w:rFonts w:ascii="仿宋_GB2312" w:eastAsia="仿宋_GB2312" w:cs="宋体" w:hAnsiTheme="minorEastAsia"/>
          <w:kern w:val="0"/>
          <w:sz w:val="32"/>
          <w:szCs w:val="32"/>
        </w:rPr>
      </w:pPr>
      <w:r>
        <w:rPr>
          <w:rFonts w:hint="eastAsia" w:ascii="仿宋_GB2312" w:eastAsia="仿宋_GB2312" w:cs="宋体" w:hAnsiTheme="minorEastAsia"/>
          <w:kern w:val="0"/>
          <w:sz w:val="32"/>
          <w:szCs w:val="32"/>
        </w:rPr>
        <w:t>监测结果表明，园区DA001（排放口</w:t>
      </w:r>
      <w:r>
        <w:rPr>
          <w:rFonts w:ascii="仿宋_GB2312" w:eastAsia="仿宋_GB2312" w:cs="宋体" w:hAnsiTheme="minorEastAsia"/>
          <w:kern w:val="0"/>
          <w:sz w:val="32"/>
          <w:szCs w:val="32"/>
        </w:rPr>
        <w:t>编号，下同）</w:t>
      </w:r>
      <w:r>
        <w:rPr>
          <w:rFonts w:hint="eastAsia" w:ascii="仿宋_GB2312" w:eastAsia="仿宋_GB2312" w:cs="宋体" w:hAnsiTheme="minorEastAsia"/>
          <w:kern w:val="0"/>
          <w:sz w:val="32"/>
          <w:szCs w:val="32"/>
        </w:rPr>
        <w:t>排气筒非甲烷总烃废气最大浓度为1.13mg/m</w:t>
      </w:r>
      <w:r>
        <w:rPr>
          <w:rFonts w:hint="eastAsia" w:ascii="仿宋_GB2312" w:eastAsia="仿宋_GB2312" w:cs="宋体" w:hAnsiTheme="minorEastAsia"/>
          <w:kern w:val="0"/>
          <w:sz w:val="32"/>
          <w:szCs w:val="32"/>
          <w:vertAlign w:val="superscript"/>
        </w:rPr>
        <w:t>3</w:t>
      </w:r>
      <w:r>
        <w:rPr>
          <w:rFonts w:hint="eastAsia" w:ascii="仿宋_GB2312" w:eastAsia="仿宋_GB2312" w:cs="宋体" w:hAnsiTheme="minorEastAsia"/>
          <w:kern w:val="0"/>
          <w:sz w:val="32"/>
          <w:szCs w:val="32"/>
        </w:rPr>
        <w:t>，DA002非甲烷总烃废气最大浓度为1.06mg/m</w:t>
      </w:r>
      <w:r>
        <w:rPr>
          <w:rFonts w:hint="eastAsia" w:ascii="仿宋_GB2312" w:eastAsia="仿宋_GB2312" w:cs="宋体" w:hAnsiTheme="minorEastAsia"/>
          <w:kern w:val="0"/>
          <w:sz w:val="32"/>
          <w:szCs w:val="32"/>
          <w:vertAlign w:val="superscript"/>
        </w:rPr>
        <w:t>3</w:t>
      </w:r>
      <w:r>
        <w:rPr>
          <w:rFonts w:hint="eastAsia" w:ascii="仿宋_GB2312" w:eastAsia="仿宋_GB2312" w:cs="宋体" w:hAnsiTheme="minorEastAsia"/>
          <w:kern w:val="0"/>
          <w:sz w:val="32"/>
          <w:szCs w:val="32"/>
        </w:rPr>
        <w:t>,园区DA001、DA002排气筒污染物非甲烷总烃有组织排放浓度</w:t>
      </w:r>
      <w:r>
        <w:rPr>
          <w:rFonts w:ascii="仿宋_GB2312" w:eastAsia="仿宋_GB2312" w:cs="宋体" w:hAnsiTheme="minorEastAsia"/>
          <w:kern w:val="0"/>
          <w:sz w:val="32"/>
          <w:szCs w:val="32"/>
        </w:rPr>
        <w:t>均</w:t>
      </w:r>
      <w:r>
        <w:rPr>
          <w:rFonts w:hint="eastAsia" w:ascii="仿宋_GB2312" w:eastAsia="仿宋_GB2312" w:cs="宋体" w:hAnsiTheme="minorEastAsia"/>
          <w:kern w:val="0"/>
          <w:sz w:val="32"/>
          <w:szCs w:val="32"/>
        </w:rPr>
        <w:t>符合广东省地方标准《固定污染源挥发性有机物综合排放标准》（DB44/2367-2022）中表1标准限值要求；项目厂界无组织排放的非甲烷总烃无组织废气最大浓度为2.9mg/m</w:t>
      </w:r>
      <w:r>
        <w:rPr>
          <w:rFonts w:hint="eastAsia" w:ascii="仿宋_GB2312" w:eastAsia="仿宋_GB2312" w:cs="宋体" w:hAnsiTheme="minorEastAsia"/>
          <w:kern w:val="0"/>
          <w:sz w:val="32"/>
          <w:szCs w:val="32"/>
          <w:vertAlign w:val="superscript"/>
        </w:rPr>
        <w:t>3</w:t>
      </w:r>
      <w:r>
        <w:rPr>
          <w:rFonts w:hint="eastAsia" w:ascii="仿宋_GB2312" w:eastAsia="仿宋_GB2312" w:cs="宋体" w:hAnsiTheme="minorEastAsia"/>
          <w:kern w:val="0"/>
          <w:sz w:val="32"/>
          <w:szCs w:val="32"/>
        </w:rPr>
        <w:t>，颗粒物废气最大浓度0.227mg/m</w:t>
      </w:r>
      <w:r>
        <w:rPr>
          <w:rFonts w:hint="eastAsia" w:ascii="仿宋_GB2312" w:eastAsia="仿宋_GB2312" w:cs="宋体" w:hAnsiTheme="minorEastAsia"/>
          <w:kern w:val="0"/>
          <w:sz w:val="32"/>
          <w:szCs w:val="32"/>
          <w:vertAlign w:val="superscript"/>
        </w:rPr>
        <w:t>3</w:t>
      </w:r>
      <w:r>
        <w:rPr>
          <w:rFonts w:hint="eastAsia" w:ascii="仿宋_GB2312" w:eastAsia="仿宋_GB2312" w:cs="宋体" w:hAnsiTheme="minorEastAsia"/>
          <w:kern w:val="0"/>
          <w:sz w:val="32"/>
          <w:szCs w:val="32"/>
        </w:rPr>
        <w:t>，厂区内无组织排放的非甲烷总烃废气最大1小时平均浓度值为3.72mg/m</w:t>
      </w:r>
      <w:r>
        <w:rPr>
          <w:rFonts w:hint="eastAsia" w:ascii="仿宋_GB2312" w:eastAsia="仿宋_GB2312" w:cs="宋体" w:hAnsiTheme="minorEastAsia"/>
          <w:kern w:val="0"/>
          <w:sz w:val="32"/>
          <w:szCs w:val="32"/>
          <w:vertAlign w:val="superscript"/>
        </w:rPr>
        <w:t>3</w:t>
      </w:r>
      <w:r>
        <w:rPr>
          <w:rFonts w:hint="eastAsia" w:ascii="仿宋_GB2312" w:eastAsia="仿宋_GB2312" w:cs="宋体" w:hAnsiTheme="minorEastAsia"/>
          <w:kern w:val="0"/>
          <w:sz w:val="32"/>
          <w:szCs w:val="32"/>
        </w:rPr>
        <w:t>，最大一次浓度值为3.95mg/m</w:t>
      </w:r>
      <w:r>
        <w:rPr>
          <w:rFonts w:hint="eastAsia" w:ascii="仿宋_GB2312" w:eastAsia="仿宋_GB2312" w:cs="宋体" w:hAnsiTheme="minorEastAsia"/>
          <w:kern w:val="0"/>
          <w:sz w:val="32"/>
          <w:szCs w:val="32"/>
          <w:vertAlign w:val="superscript"/>
        </w:rPr>
        <w:t>3</w:t>
      </w:r>
      <w:r>
        <w:rPr>
          <w:rFonts w:hint="eastAsia" w:ascii="仿宋_GB2312" w:eastAsia="仿宋_GB2312" w:cs="宋体" w:hAnsiTheme="minorEastAsia"/>
          <w:kern w:val="0"/>
          <w:sz w:val="32"/>
          <w:szCs w:val="32"/>
        </w:rPr>
        <w:t>；项目厂界无组织排放的非甲烷总烃监测结果符合广东省地方标准《大气污染物排放限值》（DB44/27-2001）第二时段无组织排放监控浓度限值，厂区内无组织排放的非甲烷总烃符合《固定污染源挥发性有机物综合排放标准》（DB44/2367-2022）表3厂区内VOCs无组织排放限值要求。</w:t>
      </w:r>
    </w:p>
    <w:p w14:paraId="759138A4">
      <w:pPr>
        <w:spacing w:line="580" w:lineRule="exact"/>
        <w:ind w:firstLine="640" w:firstLineChars="200"/>
        <w:rPr>
          <w:rFonts w:ascii="仿宋_GB2312" w:eastAsia="仿宋_GB2312" w:hAnsiTheme="minorEastAsia"/>
          <w:kern w:val="0"/>
          <w:sz w:val="32"/>
          <w:szCs w:val="32"/>
        </w:rPr>
      </w:pPr>
      <w:r>
        <w:rPr>
          <w:rFonts w:hint="eastAsia" w:ascii="仿宋_GB2312" w:eastAsia="仿宋_GB2312" w:hAnsiTheme="minorEastAsia"/>
          <w:kern w:val="0"/>
          <w:sz w:val="32"/>
          <w:szCs w:val="32"/>
        </w:rPr>
        <w:t>3</w:t>
      </w:r>
      <w:r>
        <w:rPr>
          <w:rFonts w:ascii="仿宋_GB2312" w:eastAsia="仿宋_GB2312" w:hAnsiTheme="minorEastAsia"/>
          <w:kern w:val="0"/>
          <w:sz w:val="32"/>
          <w:szCs w:val="32"/>
        </w:rPr>
        <w:t>.</w:t>
      </w:r>
      <w:r>
        <w:rPr>
          <w:rFonts w:hint="eastAsia" w:ascii="仿宋_GB2312" w:eastAsia="仿宋_GB2312" w:hAnsiTheme="minorEastAsia"/>
          <w:kern w:val="0"/>
          <w:sz w:val="32"/>
          <w:szCs w:val="32"/>
        </w:rPr>
        <w:t>噪声</w:t>
      </w:r>
    </w:p>
    <w:p w14:paraId="415A7ACD">
      <w:pPr>
        <w:ind w:firstLine="640" w:firstLineChars="200"/>
        <w:rPr>
          <w:rFonts w:ascii="仿宋_GB2312" w:eastAsia="仿宋_GB2312" w:hAnsiTheme="minorEastAsia"/>
          <w:kern w:val="0"/>
          <w:sz w:val="32"/>
          <w:szCs w:val="32"/>
        </w:rPr>
      </w:pPr>
      <w:r>
        <w:rPr>
          <w:rFonts w:hint="eastAsia" w:ascii="仿宋_GB2312" w:eastAsia="仿宋_GB2312" w:cs="宋体" w:hAnsiTheme="minorEastAsia"/>
          <w:kern w:val="0"/>
          <w:sz w:val="32"/>
          <w:szCs w:val="32"/>
        </w:rPr>
        <w:t>监测结果表明，项目厂界</w:t>
      </w:r>
      <w:r>
        <w:rPr>
          <w:rFonts w:hint="eastAsia" w:ascii="仿宋_GB2312" w:eastAsia="仿宋_GB2312" w:hAnsiTheme="minorEastAsia"/>
          <w:kern w:val="0"/>
          <w:sz w:val="32"/>
          <w:szCs w:val="32"/>
        </w:rPr>
        <w:t>南侧昼间噪声监测值为54dB（A），</w:t>
      </w:r>
      <w:r>
        <w:rPr>
          <w:rFonts w:hint="eastAsia" w:ascii="仿宋_GB2312" w:eastAsia="仿宋_GB2312" w:cs="宋体" w:hAnsiTheme="minorEastAsia"/>
          <w:kern w:val="0"/>
          <w:sz w:val="32"/>
          <w:szCs w:val="32"/>
        </w:rPr>
        <w:t>项目厂界</w:t>
      </w:r>
      <w:r>
        <w:rPr>
          <w:rFonts w:hint="eastAsia" w:ascii="仿宋_GB2312" w:eastAsia="仿宋_GB2312" w:hAnsiTheme="minorEastAsia"/>
          <w:kern w:val="0"/>
          <w:sz w:val="32"/>
          <w:szCs w:val="32"/>
        </w:rPr>
        <w:t>北侧昼间噪声监测值为56dB（A），</w:t>
      </w:r>
      <w:r>
        <w:rPr>
          <w:rFonts w:hint="eastAsia" w:ascii="仿宋_GB2312" w:eastAsia="仿宋_GB2312" w:cs="宋体" w:hAnsiTheme="minorEastAsia"/>
          <w:kern w:val="0"/>
          <w:sz w:val="32"/>
          <w:szCs w:val="32"/>
        </w:rPr>
        <w:t>厂界</w:t>
      </w:r>
      <w:r>
        <w:rPr>
          <w:rFonts w:hint="eastAsia" w:ascii="仿宋_GB2312" w:eastAsia="仿宋_GB2312" w:hAnsiTheme="minorEastAsia"/>
          <w:kern w:val="0"/>
          <w:sz w:val="32"/>
          <w:szCs w:val="32"/>
        </w:rPr>
        <w:t>东侧昼间噪声监测值为53dB（A），</w:t>
      </w:r>
      <w:r>
        <w:rPr>
          <w:rFonts w:hint="eastAsia" w:ascii="仿宋_GB2312" w:eastAsia="仿宋_GB2312" w:cs="宋体" w:hAnsiTheme="minorEastAsia"/>
          <w:kern w:val="0"/>
          <w:sz w:val="32"/>
          <w:szCs w:val="32"/>
        </w:rPr>
        <w:t>厂界</w:t>
      </w:r>
      <w:r>
        <w:rPr>
          <w:rFonts w:hint="eastAsia" w:ascii="仿宋_GB2312" w:eastAsia="仿宋_GB2312" w:hAnsiTheme="minorEastAsia"/>
          <w:kern w:val="0"/>
          <w:sz w:val="32"/>
          <w:szCs w:val="32"/>
        </w:rPr>
        <w:t>西侧昼间噪声监测值为53</w:t>
      </w:r>
      <w:r>
        <w:rPr>
          <w:rFonts w:hint="eastAsia" w:ascii="仿宋_GB2312" w:eastAsia="仿宋_GB2312" w:cs="宋体" w:hAnsiTheme="minorEastAsia"/>
          <w:kern w:val="0"/>
          <w:sz w:val="32"/>
          <w:szCs w:val="32"/>
        </w:rPr>
        <w:t>～</w:t>
      </w:r>
      <w:r>
        <w:rPr>
          <w:rFonts w:hint="eastAsia" w:ascii="仿宋_GB2312" w:eastAsia="仿宋_GB2312" w:hAnsiTheme="minorEastAsia"/>
          <w:kern w:val="0"/>
          <w:sz w:val="32"/>
          <w:szCs w:val="32"/>
        </w:rPr>
        <w:t>54dB（A）；</w:t>
      </w:r>
      <w:r>
        <w:rPr>
          <w:rFonts w:hint="eastAsia" w:ascii="仿宋_GB2312" w:eastAsia="仿宋_GB2312" w:cs="宋体" w:hAnsiTheme="minorEastAsia"/>
          <w:kern w:val="0"/>
          <w:sz w:val="32"/>
          <w:szCs w:val="32"/>
        </w:rPr>
        <w:t>园区厂界</w:t>
      </w:r>
      <w:r>
        <w:rPr>
          <w:rFonts w:hint="eastAsia" w:ascii="仿宋_GB2312" w:eastAsia="仿宋_GB2312" w:hAnsiTheme="minorEastAsia"/>
          <w:kern w:val="0"/>
          <w:sz w:val="32"/>
          <w:szCs w:val="32"/>
        </w:rPr>
        <w:t>南侧昼间噪声监测值为59</w:t>
      </w:r>
      <w:r>
        <w:rPr>
          <w:rFonts w:hint="eastAsia" w:ascii="仿宋_GB2312" w:eastAsia="仿宋_GB2312" w:cs="宋体" w:hAnsiTheme="minorEastAsia"/>
          <w:kern w:val="0"/>
          <w:sz w:val="32"/>
          <w:szCs w:val="32"/>
        </w:rPr>
        <w:t>～</w:t>
      </w:r>
      <w:r>
        <w:rPr>
          <w:rFonts w:hint="eastAsia" w:ascii="仿宋_GB2312" w:eastAsia="仿宋_GB2312" w:hAnsiTheme="minorEastAsia"/>
          <w:kern w:val="0"/>
          <w:sz w:val="32"/>
          <w:szCs w:val="32"/>
        </w:rPr>
        <w:t>60dB（A），</w:t>
      </w:r>
      <w:r>
        <w:rPr>
          <w:rFonts w:hint="eastAsia" w:ascii="仿宋_GB2312" w:eastAsia="仿宋_GB2312" w:cs="宋体" w:hAnsiTheme="minorEastAsia"/>
          <w:kern w:val="0"/>
          <w:sz w:val="32"/>
          <w:szCs w:val="32"/>
        </w:rPr>
        <w:t>园区厂界</w:t>
      </w:r>
      <w:r>
        <w:rPr>
          <w:rFonts w:hint="eastAsia" w:ascii="仿宋_GB2312" w:eastAsia="仿宋_GB2312" w:hAnsiTheme="minorEastAsia"/>
          <w:kern w:val="0"/>
          <w:sz w:val="32"/>
          <w:szCs w:val="32"/>
        </w:rPr>
        <w:t>北侧昼间噪声监测值为51</w:t>
      </w:r>
      <w:r>
        <w:rPr>
          <w:rFonts w:hint="eastAsia" w:ascii="仿宋_GB2312" w:eastAsia="仿宋_GB2312" w:cs="宋体" w:hAnsiTheme="minorEastAsia"/>
          <w:kern w:val="0"/>
          <w:sz w:val="32"/>
          <w:szCs w:val="32"/>
        </w:rPr>
        <w:t>～</w:t>
      </w:r>
      <w:r>
        <w:rPr>
          <w:rFonts w:hint="eastAsia" w:ascii="仿宋_GB2312" w:eastAsia="仿宋_GB2312" w:hAnsiTheme="minorEastAsia"/>
          <w:kern w:val="0"/>
          <w:sz w:val="32"/>
          <w:szCs w:val="32"/>
        </w:rPr>
        <w:t>52dB（A），</w:t>
      </w:r>
      <w:r>
        <w:rPr>
          <w:rFonts w:hint="eastAsia" w:ascii="仿宋_GB2312" w:eastAsia="仿宋_GB2312" w:cs="宋体" w:hAnsiTheme="minorEastAsia"/>
          <w:kern w:val="0"/>
          <w:sz w:val="32"/>
          <w:szCs w:val="32"/>
        </w:rPr>
        <w:t>园区</w:t>
      </w:r>
      <w:r>
        <w:rPr>
          <w:rFonts w:hint="eastAsia" w:ascii="仿宋_GB2312" w:eastAsia="仿宋_GB2312" w:hAnsiTheme="minorEastAsia"/>
          <w:kern w:val="0"/>
          <w:sz w:val="32"/>
          <w:szCs w:val="32"/>
        </w:rPr>
        <w:t>东侧昼间噪声监测值为53</w:t>
      </w:r>
      <w:r>
        <w:rPr>
          <w:rFonts w:hint="eastAsia" w:ascii="仿宋_GB2312" w:eastAsia="仿宋_GB2312" w:cs="宋体" w:hAnsiTheme="minorEastAsia"/>
          <w:kern w:val="0"/>
          <w:sz w:val="32"/>
          <w:szCs w:val="32"/>
        </w:rPr>
        <w:t>～</w:t>
      </w:r>
      <w:r>
        <w:rPr>
          <w:rFonts w:hint="eastAsia" w:ascii="仿宋_GB2312" w:eastAsia="仿宋_GB2312" w:hAnsiTheme="minorEastAsia"/>
          <w:kern w:val="0"/>
          <w:sz w:val="32"/>
          <w:szCs w:val="32"/>
        </w:rPr>
        <w:t>54dB（A），</w:t>
      </w:r>
      <w:r>
        <w:rPr>
          <w:rFonts w:hint="eastAsia" w:ascii="仿宋_GB2312" w:eastAsia="仿宋_GB2312" w:cs="宋体" w:hAnsiTheme="minorEastAsia"/>
          <w:kern w:val="0"/>
          <w:sz w:val="32"/>
          <w:szCs w:val="32"/>
        </w:rPr>
        <w:t>园区</w:t>
      </w:r>
      <w:r>
        <w:rPr>
          <w:rFonts w:hint="eastAsia" w:ascii="仿宋_GB2312" w:eastAsia="仿宋_GB2312" w:hAnsiTheme="minorEastAsia"/>
          <w:kern w:val="0"/>
          <w:sz w:val="32"/>
          <w:szCs w:val="32"/>
        </w:rPr>
        <w:t>西侧昼间噪声监测值为56</w:t>
      </w:r>
      <w:r>
        <w:rPr>
          <w:rFonts w:hint="eastAsia" w:ascii="仿宋_GB2312" w:eastAsia="仿宋_GB2312" w:cs="宋体" w:hAnsiTheme="minorEastAsia"/>
          <w:kern w:val="0"/>
          <w:sz w:val="32"/>
          <w:szCs w:val="32"/>
        </w:rPr>
        <w:t>～</w:t>
      </w:r>
      <w:r>
        <w:rPr>
          <w:rFonts w:hint="eastAsia" w:ascii="仿宋_GB2312" w:eastAsia="仿宋_GB2312" w:hAnsiTheme="minorEastAsia"/>
          <w:kern w:val="0"/>
          <w:sz w:val="32"/>
          <w:szCs w:val="32"/>
        </w:rPr>
        <w:t>57dB（A），</w:t>
      </w:r>
      <w:r>
        <w:rPr>
          <w:rFonts w:hint="eastAsia" w:ascii="仿宋_GB2312" w:eastAsia="仿宋_GB2312" w:cs="宋体" w:hAnsiTheme="minorEastAsia"/>
          <w:kern w:val="0"/>
          <w:sz w:val="32"/>
          <w:szCs w:val="32"/>
        </w:rPr>
        <w:t>园区</w:t>
      </w:r>
      <w:r>
        <w:rPr>
          <w:rFonts w:hint="eastAsia" w:ascii="仿宋_GB2312" w:eastAsia="仿宋_GB2312" w:hAnsiTheme="minorEastAsia"/>
          <w:kern w:val="0"/>
          <w:sz w:val="32"/>
          <w:szCs w:val="32"/>
        </w:rPr>
        <w:t>西北侧昼间噪声监测值为52dB（A）。项目厂界昼间噪声四周符合《工业企业厂界环境噪声排放标准》（GB12348-2008）2类标准；园区东、西、北侧厂界昼间噪声监测值符合《工业企业厂界环境噪声排放标准》（GB12348－2008）2类标准要求，园区南侧昼间噪声监测值符合《工业企业厂界环境噪声排放标准》（GB12348－2008）4类标准要求。项目夜间不生产，因此不对夜间进行噪声监测。</w:t>
      </w:r>
    </w:p>
    <w:p w14:paraId="557E699E">
      <w:pPr>
        <w:spacing w:line="580" w:lineRule="exact"/>
        <w:ind w:firstLine="640" w:firstLineChars="200"/>
        <w:rPr>
          <w:rFonts w:ascii="仿宋_GB2312" w:eastAsia="仿宋_GB2312" w:hAnsiTheme="minorEastAsia"/>
          <w:kern w:val="0"/>
          <w:sz w:val="32"/>
          <w:szCs w:val="32"/>
        </w:rPr>
      </w:pPr>
      <w:r>
        <w:rPr>
          <w:rFonts w:ascii="仿宋_GB2312" w:eastAsia="仿宋_GB2312" w:hAnsiTheme="minorEastAsia"/>
          <w:kern w:val="0"/>
          <w:sz w:val="32"/>
          <w:szCs w:val="32"/>
        </w:rPr>
        <w:t>4.</w:t>
      </w:r>
      <w:r>
        <w:rPr>
          <w:rFonts w:hint="eastAsia" w:ascii="仿宋_GB2312" w:eastAsia="仿宋_GB2312" w:hAnsiTheme="minorEastAsia"/>
          <w:kern w:val="0"/>
          <w:sz w:val="32"/>
          <w:szCs w:val="32"/>
        </w:rPr>
        <w:t>固废</w:t>
      </w:r>
    </w:p>
    <w:p w14:paraId="574F18B2">
      <w:pPr>
        <w:ind w:firstLine="640" w:firstLineChars="200"/>
        <w:rPr>
          <w:rFonts w:ascii="仿宋_GB2312" w:eastAsia="仿宋_GB2312" w:hAnsiTheme="minorEastAsia"/>
          <w:kern w:val="0"/>
          <w:sz w:val="32"/>
          <w:szCs w:val="32"/>
        </w:rPr>
      </w:pPr>
      <w:r>
        <w:rPr>
          <w:rFonts w:ascii="仿宋_GB2312" w:eastAsia="仿宋_GB2312" w:hAnsiTheme="minorEastAsia"/>
          <w:kern w:val="0"/>
          <w:sz w:val="32"/>
          <w:szCs w:val="32"/>
        </w:rPr>
        <w:t>本项目固体废物管理已遵照《中华人民共和国固体废物污染环境防治法》和《广东省固体废物污染环境防治条例》的相关规定。</w:t>
      </w:r>
      <w:r>
        <w:rPr>
          <w:rFonts w:hint="eastAsia" w:ascii="仿宋_GB2312" w:eastAsia="仿宋_GB2312" w:hAnsiTheme="minorEastAsia"/>
          <w:kern w:val="0"/>
          <w:sz w:val="32"/>
          <w:szCs w:val="32"/>
        </w:rPr>
        <w:t>一般工业固体废物在厂区内的临时贮存和管理符合《一般工业固体废物贮存和填埋污染控制标准》（GB18599-2020）的有关规定，危险废物在厂内的临时贮存和管理符合《危险废物贮存污染控制标准》（GB18597-20</w:t>
      </w:r>
      <w:r>
        <w:rPr>
          <w:rFonts w:ascii="仿宋_GB2312" w:eastAsia="仿宋_GB2312" w:hAnsiTheme="minorEastAsia"/>
          <w:kern w:val="0"/>
          <w:sz w:val="32"/>
          <w:szCs w:val="32"/>
        </w:rPr>
        <w:t>23</w:t>
      </w:r>
      <w:r>
        <w:rPr>
          <w:rFonts w:hint="eastAsia" w:ascii="仿宋_GB2312" w:eastAsia="仿宋_GB2312" w:hAnsiTheme="minorEastAsia"/>
          <w:kern w:val="0"/>
          <w:sz w:val="32"/>
          <w:szCs w:val="32"/>
        </w:rPr>
        <w:t>）要求。</w:t>
      </w:r>
    </w:p>
    <w:p w14:paraId="1B8D79E0">
      <w:pPr>
        <w:spacing w:line="580" w:lineRule="exact"/>
        <w:ind w:firstLine="640" w:firstLineChars="200"/>
        <w:rPr>
          <w:rFonts w:ascii="仿宋_GB2312" w:eastAsia="仿宋_GB2312" w:hAnsiTheme="minorEastAsia"/>
          <w:kern w:val="0"/>
          <w:sz w:val="32"/>
          <w:szCs w:val="32"/>
        </w:rPr>
      </w:pPr>
      <w:r>
        <w:rPr>
          <w:rFonts w:ascii="仿宋_GB2312" w:eastAsia="仿宋_GB2312" w:hAnsiTheme="minorEastAsia"/>
          <w:kern w:val="0"/>
          <w:sz w:val="32"/>
          <w:szCs w:val="32"/>
        </w:rPr>
        <w:t>5.</w:t>
      </w:r>
      <w:r>
        <w:rPr>
          <w:rFonts w:hint="eastAsia" w:ascii="仿宋_GB2312" w:eastAsia="仿宋_GB2312" w:hAnsiTheme="minorEastAsia"/>
          <w:kern w:val="0"/>
          <w:sz w:val="32"/>
          <w:szCs w:val="32"/>
        </w:rPr>
        <w:t>污染物排放总量</w:t>
      </w:r>
    </w:p>
    <w:p w14:paraId="4A56C63F">
      <w:pPr>
        <w:spacing w:line="580" w:lineRule="exact"/>
        <w:ind w:firstLine="640" w:firstLineChars="200"/>
        <w:rPr>
          <w:rFonts w:ascii="仿宋_GB2312" w:eastAsia="仿宋_GB2312" w:hAnsiTheme="minorEastAsia"/>
          <w:kern w:val="0"/>
          <w:sz w:val="32"/>
          <w:szCs w:val="32"/>
        </w:rPr>
      </w:pPr>
      <w:r>
        <w:rPr>
          <w:rFonts w:hint="eastAsia" w:ascii="仿宋_GB2312" w:eastAsia="仿宋_GB2312" w:hAnsiTheme="minorEastAsia"/>
          <w:kern w:val="0"/>
          <w:sz w:val="32"/>
          <w:szCs w:val="32"/>
        </w:rPr>
        <w:t>根据项目环境影响报告表及其批复要求，不设废水、废气污染物总量控制指标。</w:t>
      </w:r>
    </w:p>
    <w:p w14:paraId="2279E961">
      <w:pPr>
        <w:spacing w:line="580" w:lineRule="exact"/>
        <w:ind w:firstLine="643" w:firstLineChars="200"/>
        <w:rPr>
          <w:rFonts w:asciiTheme="minorEastAsia" w:hAnsiTheme="minorEastAsia" w:eastAsiaTheme="minorEastAsia"/>
          <w:b/>
          <w:kern w:val="0"/>
          <w:sz w:val="32"/>
          <w:szCs w:val="32"/>
        </w:rPr>
      </w:pPr>
      <w:r>
        <w:rPr>
          <w:rFonts w:hint="eastAsia" w:asciiTheme="minorEastAsia" w:hAnsiTheme="minorEastAsia" w:eastAsiaTheme="minorEastAsia"/>
          <w:b/>
          <w:kern w:val="0"/>
          <w:sz w:val="32"/>
          <w:szCs w:val="32"/>
        </w:rPr>
        <w:t>五、工程建设对环境的影响</w:t>
      </w:r>
    </w:p>
    <w:p w14:paraId="018E7342">
      <w:pPr>
        <w:pStyle w:val="27"/>
        <w:spacing w:line="580" w:lineRule="exact"/>
        <w:ind w:firstLine="640"/>
        <w:rPr>
          <w:rFonts w:ascii="仿宋_GB2312" w:eastAsia="仿宋_GB2312" w:hAnsiTheme="minorEastAsia"/>
          <w:kern w:val="0"/>
          <w:sz w:val="32"/>
          <w:szCs w:val="32"/>
        </w:rPr>
      </w:pPr>
      <w:r>
        <w:rPr>
          <w:rFonts w:hint="eastAsia" w:ascii="仿宋_GB2312" w:eastAsia="仿宋_GB2312" w:hAnsiTheme="minorEastAsia"/>
          <w:kern w:val="0"/>
          <w:sz w:val="32"/>
          <w:szCs w:val="32"/>
        </w:rPr>
        <w:t>项目废水、废气、噪声、固体废物均通过合理的方式处理达标后排放，根据监测结果，本项目产生的污染物未对周边环境产生明显的影响。</w:t>
      </w:r>
    </w:p>
    <w:p w14:paraId="472A5C90">
      <w:pPr>
        <w:pStyle w:val="27"/>
        <w:spacing w:line="580" w:lineRule="exact"/>
        <w:ind w:left="641" w:firstLine="0" w:firstLineChars="0"/>
        <w:jc w:val="left"/>
        <w:rPr>
          <w:rFonts w:asciiTheme="minorEastAsia" w:hAnsiTheme="minorEastAsia" w:eastAsiaTheme="minorEastAsia"/>
          <w:b/>
          <w:kern w:val="0"/>
          <w:sz w:val="32"/>
          <w:szCs w:val="32"/>
        </w:rPr>
      </w:pPr>
      <w:r>
        <w:rPr>
          <w:rFonts w:hint="eastAsia" w:asciiTheme="minorEastAsia" w:hAnsiTheme="minorEastAsia" w:eastAsiaTheme="minorEastAsia"/>
          <w:b/>
          <w:kern w:val="0"/>
          <w:sz w:val="32"/>
          <w:szCs w:val="32"/>
        </w:rPr>
        <w:t>六、验收结论</w:t>
      </w:r>
    </w:p>
    <w:p w14:paraId="2D3BFA6A">
      <w:pPr>
        <w:spacing w:line="580" w:lineRule="exact"/>
        <w:ind w:firstLine="640" w:firstLineChars="200"/>
        <w:jc w:val="left"/>
        <w:rPr>
          <w:rFonts w:ascii="仿宋_GB2312" w:eastAsia="仿宋_GB2312" w:hAnsiTheme="minorEastAsia"/>
          <w:kern w:val="0"/>
          <w:sz w:val="32"/>
          <w:szCs w:val="32"/>
        </w:rPr>
      </w:pPr>
      <w:bookmarkStart w:id="3" w:name="OLE_LINK1"/>
      <w:r>
        <w:rPr>
          <w:rFonts w:hint="eastAsia" w:ascii="仿宋_GB2312" w:eastAsia="仿宋_GB2312" w:hAnsiTheme="minorEastAsia"/>
          <w:kern w:val="0"/>
          <w:sz w:val="32"/>
          <w:szCs w:val="32"/>
        </w:rPr>
        <w:t>茂名艺宝珠宝制造有限公司年产0.18吨珠宝首饰建设项目</w:t>
      </w:r>
      <w:bookmarkEnd w:id="3"/>
      <w:r>
        <w:rPr>
          <w:rFonts w:hint="eastAsia" w:ascii="仿宋_GB2312" w:eastAsia="仿宋_GB2312" w:hAnsiTheme="minorEastAsia"/>
          <w:kern w:val="0"/>
          <w:sz w:val="32"/>
          <w:szCs w:val="32"/>
        </w:rPr>
        <w:t>在实施过程中按环境影响评价文件及其批复要求，落实了相应的环境保护措施，验收合格，同意主体工程正式投入运营。</w:t>
      </w:r>
    </w:p>
    <w:p w14:paraId="14DCB421"/>
    <w:p w14:paraId="469D4DC1">
      <w:pPr>
        <w:pStyle w:val="27"/>
        <w:spacing w:line="580" w:lineRule="exact"/>
        <w:ind w:left="641" w:firstLine="0" w:firstLineChars="0"/>
        <w:jc w:val="left"/>
        <w:rPr>
          <w:rFonts w:asciiTheme="minorEastAsia" w:hAnsiTheme="minorEastAsia" w:eastAsiaTheme="minorEastAsia"/>
          <w:b/>
          <w:kern w:val="0"/>
          <w:sz w:val="32"/>
          <w:szCs w:val="32"/>
        </w:rPr>
      </w:pPr>
      <w:r>
        <w:rPr>
          <w:rFonts w:hint="eastAsia" w:asciiTheme="minorEastAsia" w:hAnsiTheme="minorEastAsia" w:eastAsiaTheme="minorEastAsia"/>
          <w:b/>
          <w:kern w:val="0"/>
          <w:sz w:val="32"/>
          <w:szCs w:val="32"/>
        </w:rPr>
        <w:t>七、后续要求</w:t>
      </w:r>
    </w:p>
    <w:p w14:paraId="2CE7EB11">
      <w:pPr>
        <w:spacing w:line="580" w:lineRule="exact"/>
        <w:ind w:firstLine="640" w:firstLineChars="200"/>
        <w:jc w:val="left"/>
        <w:rPr>
          <w:rFonts w:ascii="仿宋_GB2312" w:eastAsia="仿宋_GB2312" w:hAnsiTheme="minorEastAsia"/>
          <w:kern w:val="0"/>
          <w:sz w:val="32"/>
          <w:szCs w:val="32"/>
        </w:rPr>
      </w:pPr>
      <w:r>
        <w:rPr>
          <w:rFonts w:hint="eastAsia" w:ascii="仿宋_GB2312" w:eastAsia="仿宋_GB2312" w:hAnsiTheme="minorEastAsia"/>
          <w:kern w:val="0"/>
          <w:sz w:val="32"/>
          <w:szCs w:val="32"/>
        </w:rPr>
        <w:t>（一）加强环境设施维护与管理，确保污染物长期稳定达标排放。</w:t>
      </w:r>
    </w:p>
    <w:p w14:paraId="39EB1EC5">
      <w:pPr>
        <w:spacing w:line="580" w:lineRule="exact"/>
        <w:ind w:firstLine="640" w:firstLineChars="200"/>
        <w:jc w:val="left"/>
        <w:rPr>
          <w:rFonts w:ascii="仿宋_GB2312" w:eastAsia="仿宋_GB2312" w:hAnsiTheme="minorEastAsia"/>
          <w:kern w:val="0"/>
          <w:sz w:val="32"/>
          <w:szCs w:val="32"/>
        </w:rPr>
      </w:pPr>
      <w:r>
        <w:rPr>
          <w:rFonts w:hint="eastAsia" w:ascii="仿宋_GB2312" w:eastAsia="仿宋_GB2312" w:hAnsiTheme="minorEastAsia"/>
          <w:kern w:val="0"/>
          <w:sz w:val="32"/>
          <w:szCs w:val="32"/>
        </w:rPr>
        <w:t>（二）按证依法排污，接受生态环境主管部门的监督管理。</w:t>
      </w:r>
    </w:p>
    <w:p w14:paraId="1818B3F4">
      <w:pPr>
        <w:pStyle w:val="27"/>
        <w:spacing w:line="580" w:lineRule="exact"/>
        <w:ind w:left="641" w:firstLine="0" w:firstLineChars="0"/>
        <w:jc w:val="left"/>
        <w:rPr>
          <w:rFonts w:asciiTheme="minorEastAsia" w:hAnsiTheme="minorEastAsia" w:eastAsiaTheme="minorEastAsia"/>
          <w:kern w:val="0"/>
          <w:sz w:val="32"/>
          <w:szCs w:val="32"/>
        </w:rPr>
      </w:pPr>
      <w:r>
        <w:rPr>
          <w:rFonts w:hint="eastAsia" w:asciiTheme="minorEastAsia" w:hAnsiTheme="minorEastAsia" w:eastAsiaTheme="minorEastAsia"/>
          <w:b/>
          <w:kern w:val="0"/>
          <w:sz w:val="32"/>
          <w:szCs w:val="32"/>
        </w:rPr>
        <w:t>八、验收人员信息</w:t>
      </w:r>
    </w:p>
    <w:p w14:paraId="677F6574">
      <w:pPr>
        <w:spacing w:line="580" w:lineRule="exact"/>
        <w:ind w:firstLine="627" w:firstLineChars="196"/>
        <w:jc w:val="left"/>
        <w:rPr>
          <w:rFonts w:ascii="仿宋_GB2312" w:eastAsia="仿宋_GB2312" w:hAnsiTheme="minorEastAsia"/>
          <w:kern w:val="0"/>
          <w:sz w:val="32"/>
          <w:szCs w:val="32"/>
        </w:rPr>
      </w:pPr>
      <w:r>
        <w:rPr>
          <w:rFonts w:hint="eastAsia" w:ascii="仿宋_GB2312" w:eastAsia="仿宋_GB2312" w:hAnsiTheme="minorEastAsia"/>
          <w:kern w:val="0"/>
          <w:sz w:val="32"/>
          <w:szCs w:val="32"/>
        </w:rPr>
        <w:t>详见附表。</w:t>
      </w:r>
    </w:p>
    <w:p w14:paraId="5F96B696">
      <w:pPr>
        <w:spacing w:line="580" w:lineRule="exact"/>
        <w:ind w:right="640"/>
        <w:jc w:val="right"/>
        <w:rPr>
          <w:rFonts w:ascii="仿宋_GB2312" w:eastAsia="仿宋_GB2312" w:hAnsiTheme="minorEastAsia"/>
          <w:kern w:val="0"/>
          <w:sz w:val="32"/>
          <w:szCs w:val="32"/>
        </w:rPr>
      </w:pPr>
      <w:r>
        <w:rPr>
          <w:rFonts w:hint="eastAsia" w:ascii="仿宋_GB2312" w:eastAsia="仿宋_GB2312" w:hAnsiTheme="minorEastAsia"/>
          <w:kern w:val="0"/>
          <w:sz w:val="32"/>
          <w:szCs w:val="32"/>
        </w:rPr>
        <w:t>茂名艺宝珠宝制造有限公司</w:t>
      </w:r>
      <w:r>
        <w:rPr>
          <w:rFonts w:ascii="仿宋_GB2312" w:eastAsia="仿宋_GB2312" w:hAnsiTheme="minorEastAsia"/>
          <w:kern w:val="0"/>
          <w:sz w:val="32"/>
          <w:szCs w:val="32"/>
        </w:rPr>
        <w:t xml:space="preserve">                </w:t>
      </w:r>
    </w:p>
    <w:p w14:paraId="3907ED0A">
      <w:pPr>
        <w:spacing w:line="580" w:lineRule="exact"/>
        <w:ind w:right="640"/>
        <w:jc w:val="right"/>
        <w:rPr>
          <w:rFonts w:ascii="仿宋_GB2312" w:eastAsia="仿宋_GB2312" w:hAnsiTheme="minorEastAsia"/>
          <w:kern w:val="0"/>
          <w:sz w:val="32"/>
          <w:szCs w:val="32"/>
        </w:rPr>
      </w:pPr>
      <w:r>
        <w:rPr>
          <w:rFonts w:ascii="仿宋_GB2312" w:eastAsia="仿宋_GB2312" w:hAnsiTheme="minorEastAsia"/>
          <w:kern w:val="0"/>
          <w:sz w:val="32"/>
          <w:szCs w:val="32"/>
        </w:rPr>
        <w:t xml:space="preserve"> 202</w:t>
      </w:r>
      <w:r>
        <w:rPr>
          <w:rFonts w:hint="eastAsia" w:ascii="仿宋_GB2312" w:eastAsia="仿宋_GB2312" w:hAnsiTheme="minorEastAsia"/>
          <w:kern w:val="0"/>
          <w:sz w:val="32"/>
          <w:szCs w:val="32"/>
        </w:rPr>
        <w:t>5年</w:t>
      </w:r>
      <w:r>
        <w:rPr>
          <w:rFonts w:ascii="仿宋_GB2312" w:eastAsia="仿宋_GB2312" w:hAnsiTheme="minorEastAsia"/>
          <w:kern w:val="0"/>
          <w:sz w:val="32"/>
          <w:szCs w:val="32"/>
        </w:rPr>
        <w:t>6</w:t>
      </w:r>
      <w:r>
        <w:rPr>
          <w:rFonts w:hint="eastAsia" w:ascii="仿宋_GB2312" w:eastAsia="仿宋_GB2312" w:hAnsiTheme="minorEastAsia"/>
          <w:kern w:val="0"/>
          <w:sz w:val="32"/>
          <w:szCs w:val="32"/>
        </w:rPr>
        <w:t>月</w:t>
      </w:r>
      <w:r>
        <w:rPr>
          <w:rFonts w:ascii="仿宋_GB2312" w:eastAsia="仿宋_GB2312" w:hAnsiTheme="minorEastAsia"/>
          <w:kern w:val="0"/>
          <w:sz w:val="32"/>
          <w:szCs w:val="32"/>
        </w:rPr>
        <w:t>4</w:t>
      </w:r>
      <w:r>
        <w:rPr>
          <w:rFonts w:hint="eastAsia" w:ascii="仿宋_GB2312" w:eastAsia="仿宋_GB2312" w:hAnsiTheme="minorEastAsia"/>
          <w:kern w:val="0"/>
          <w:sz w:val="32"/>
          <w:szCs w:val="32"/>
        </w:rPr>
        <w:t>日</w:t>
      </w:r>
    </w:p>
    <w:p w14:paraId="0F6E6FB8">
      <w:pPr>
        <w:spacing w:line="560" w:lineRule="exact"/>
        <w:jc w:val="left"/>
        <w:rPr>
          <w:rFonts w:ascii="仿宋_GB2312" w:eastAsia="仿宋_GB2312" w:hAnsiTheme="minorEastAsia"/>
          <w:kern w:val="0"/>
          <w:sz w:val="32"/>
          <w:szCs w:val="32"/>
        </w:rPr>
        <w:sectPr>
          <w:footerReference r:id="rId3" w:type="default"/>
          <w:pgSz w:w="11906" w:h="16838"/>
          <w:pgMar w:top="2098" w:right="1588" w:bottom="2041" w:left="1588" w:header="851" w:footer="1134" w:gutter="0"/>
          <w:cols w:space="425" w:num="1"/>
          <w:docGrid w:type="lines" w:linePitch="312" w:charSpace="0"/>
        </w:sectPr>
      </w:pPr>
    </w:p>
    <w:p w14:paraId="54D1BFF5">
      <w:pPr>
        <w:pStyle w:val="4"/>
        <w:wordWrap w:val="0"/>
        <w:autoSpaceDE w:val="0"/>
        <w:spacing w:line="520" w:lineRule="exact"/>
        <w:ind w:left="420" w:leftChars="200"/>
        <w:jc w:val="left"/>
      </w:pPr>
      <w:bookmarkStart w:id="4" w:name="_GoBack"/>
      <w:bookmarkEnd w:id="4"/>
    </w:p>
    <w:sectPr>
      <w:pgSz w:w="16838" w:h="11906" w:orient="landscape"/>
      <w:pgMar w:top="1134" w:right="1440" w:bottom="1701" w:left="1440" w:header="851" w:footer="850" w:gutter="0"/>
      <w:pgNumType w:chapStyle="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华文宋体">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E1EF5">
    <w:pPr>
      <w:pStyle w:val="10"/>
      <w:jc w:val="center"/>
      <w:rPr>
        <w:sz w:val="24"/>
        <w:szCs w:val="24"/>
      </w:rPr>
    </w:pPr>
    <w:r>
      <w:rPr>
        <w:rFonts w:hint="eastAsia"/>
        <w:sz w:val="24"/>
        <w:szCs w:val="24"/>
      </w:rPr>
      <w:t>第</w:t>
    </w:r>
    <w:r>
      <w:rPr>
        <w:sz w:val="24"/>
        <w:szCs w:val="24"/>
      </w:rPr>
      <w:fldChar w:fldCharType="begin"/>
    </w:r>
    <w:r>
      <w:rPr>
        <w:sz w:val="24"/>
        <w:szCs w:val="24"/>
      </w:rPr>
      <w:instrText xml:space="preserve"> PAGE  \* Arabic  \* MERGEFORMAT </w:instrText>
    </w:r>
    <w:r>
      <w:rPr>
        <w:sz w:val="24"/>
        <w:szCs w:val="24"/>
      </w:rPr>
      <w:fldChar w:fldCharType="separate"/>
    </w:r>
    <w:r>
      <w:rPr>
        <w:sz w:val="24"/>
        <w:szCs w:val="24"/>
      </w:rPr>
      <w:t>8</w:t>
    </w:r>
    <w:r>
      <w:rPr>
        <w:sz w:val="24"/>
        <w:szCs w:val="24"/>
      </w:rPr>
      <w:fldChar w:fldCharType="end"/>
    </w:r>
    <w:r>
      <w:rPr>
        <w:rFonts w:hint="eastAsia"/>
        <w:sz w:val="24"/>
        <w:szCs w:val="24"/>
      </w:rPr>
      <w:t>页</w:t>
    </w:r>
    <w:r>
      <w:rPr>
        <w:sz w:val="24"/>
        <w:szCs w:val="24"/>
      </w:rPr>
      <w:t xml:space="preserve"> </w:t>
    </w:r>
    <w:r>
      <w:rPr>
        <w:rFonts w:hint="eastAsia"/>
        <w:sz w:val="24"/>
        <w:szCs w:val="24"/>
      </w:rPr>
      <w:t>共</w:t>
    </w:r>
    <w:r>
      <w:rPr>
        <w:sz w:val="24"/>
        <w:szCs w:val="24"/>
      </w:rPr>
      <w:fldChar w:fldCharType="begin"/>
    </w:r>
    <w:r>
      <w:rPr>
        <w:sz w:val="24"/>
        <w:szCs w:val="24"/>
      </w:rPr>
      <w:instrText xml:space="preserve"> NUMPAGES  \# "0" \* Arabic  \* MERGEFORMAT </w:instrText>
    </w:r>
    <w:r>
      <w:rPr>
        <w:sz w:val="24"/>
        <w:szCs w:val="24"/>
      </w:rPr>
      <w:fldChar w:fldCharType="separate"/>
    </w:r>
    <w:r>
      <w:rPr>
        <w:sz w:val="24"/>
        <w:szCs w:val="24"/>
      </w:rPr>
      <w:t>10</w:t>
    </w:r>
    <w:r>
      <w:rPr>
        <w:sz w:val="24"/>
        <w:szCs w:val="24"/>
      </w:rPr>
      <w:fldChar w:fldCharType="end"/>
    </w:r>
    <w:r>
      <w:rPr>
        <w:rFonts w:hint="eastAsia"/>
        <w:sz w:val="24"/>
        <w:szCs w:val="24"/>
      </w:rPr>
      <w:t>页</w:t>
    </w:r>
  </w:p>
  <w:p w14:paraId="6BDD943C">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NkNDE5NGRjYThjZjJjMWU1Zjg3NmIzM2VmOTFjNDIifQ=="/>
  </w:docVars>
  <w:rsids>
    <w:rsidRoot w:val="00C95143"/>
    <w:rsid w:val="00016D53"/>
    <w:rsid w:val="00024432"/>
    <w:rsid w:val="00041514"/>
    <w:rsid w:val="00053032"/>
    <w:rsid w:val="000775EC"/>
    <w:rsid w:val="000860DC"/>
    <w:rsid w:val="0008770D"/>
    <w:rsid w:val="00092E35"/>
    <w:rsid w:val="000948F0"/>
    <w:rsid w:val="000C4A99"/>
    <w:rsid w:val="000E4997"/>
    <w:rsid w:val="001045A8"/>
    <w:rsid w:val="001309D3"/>
    <w:rsid w:val="00174BAF"/>
    <w:rsid w:val="001817FA"/>
    <w:rsid w:val="00187AF0"/>
    <w:rsid w:val="001B4DE2"/>
    <w:rsid w:val="001C77DC"/>
    <w:rsid w:val="001E0DDA"/>
    <w:rsid w:val="001E2F7E"/>
    <w:rsid w:val="001E77A4"/>
    <w:rsid w:val="001F2717"/>
    <w:rsid w:val="001F696C"/>
    <w:rsid w:val="00200F58"/>
    <w:rsid w:val="002067A0"/>
    <w:rsid w:val="00210333"/>
    <w:rsid w:val="00233CDE"/>
    <w:rsid w:val="0025686A"/>
    <w:rsid w:val="00260B5F"/>
    <w:rsid w:val="00261FCE"/>
    <w:rsid w:val="002662AE"/>
    <w:rsid w:val="00267343"/>
    <w:rsid w:val="002726BB"/>
    <w:rsid w:val="002817A3"/>
    <w:rsid w:val="002B17EE"/>
    <w:rsid w:val="002B425D"/>
    <w:rsid w:val="002D206D"/>
    <w:rsid w:val="002F002C"/>
    <w:rsid w:val="002F5A89"/>
    <w:rsid w:val="0032626E"/>
    <w:rsid w:val="00332D7C"/>
    <w:rsid w:val="00351DA4"/>
    <w:rsid w:val="00362FBD"/>
    <w:rsid w:val="003758E6"/>
    <w:rsid w:val="0038198E"/>
    <w:rsid w:val="003831CB"/>
    <w:rsid w:val="003908D8"/>
    <w:rsid w:val="003A5BF8"/>
    <w:rsid w:val="003B1222"/>
    <w:rsid w:val="003B31DD"/>
    <w:rsid w:val="003B34A4"/>
    <w:rsid w:val="003B7646"/>
    <w:rsid w:val="003C0121"/>
    <w:rsid w:val="003C249C"/>
    <w:rsid w:val="003D5F65"/>
    <w:rsid w:val="003D6168"/>
    <w:rsid w:val="003E1AC0"/>
    <w:rsid w:val="003E3B67"/>
    <w:rsid w:val="004115CB"/>
    <w:rsid w:val="0041308B"/>
    <w:rsid w:val="00436B39"/>
    <w:rsid w:val="00455E35"/>
    <w:rsid w:val="004840EB"/>
    <w:rsid w:val="00490815"/>
    <w:rsid w:val="004A7F9D"/>
    <w:rsid w:val="004D2525"/>
    <w:rsid w:val="004F6142"/>
    <w:rsid w:val="00501D32"/>
    <w:rsid w:val="0053352A"/>
    <w:rsid w:val="005442D6"/>
    <w:rsid w:val="0054560A"/>
    <w:rsid w:val="00565D68"/>
    <w:rsid w:val="00580CAE"/>
    <w:rsid w:val="00584CAD"/>
    <w:rsid w:val="005A6B84"/>
    <w:rsid w:val="005B01A9"/>
    <w:rsid w:val="005B1EF5"/>
    <w:rsid w:val="005B4770"/>
    <w:rsid w:val="005B6816"/>
    <w:rsid w:val="005C3586"/>
    <w:rsid w:val="005D053C"/>
    <w:rsid w:val="005D20CF"/>
    <w:rsid w:val="0061550D"/>
    <w:rsid w:val="006337BD"/>
    <w:rsid w:val="00660C13"/>
    <w:rsid w:val="00661BD0"/>
    <w:rsid w:val="006752E0"/>
    <w:rsid w:val="006A5342"/>
    <w:rsid w:val="006A6A4E"/>
    <w:rsid w:val="006D5D25"/>
    <w:rsid w:val="006E54CA"/>
    <w:rsid w:val="006E7512"/>
    <w:rsid w:val="0071515D"/>
    <w:rsid w:val="00734496"/>
    <w:rsid w:val="00737195"/>
    <w:rsid w:val="00744869"/>
    <w:rsid w:val="007523A5"/>
    <w:rsid w:val="007A6A8A"/>
    <w:rsid w:val="007B5169"/>
    <w:rsid w:val="007E3E69"/>
    <w:rsid w:val="007F42E0"/>
    <w:rsid w:val="0085157C"/>
    <w:rsid w:val="00855D78"/>
    <w:rsid w:val="00857DF1"/>
    <w:rsid w:val="00863502"/>
    <w:rsid w:val="008752DE"/>
    <w:rsid w:val="008B143F"/>
    <w:rsid w:val="008E38F2"/>
    <w:rsid w:val="00954BFF"/>
    <w:rsid w:val="00965638"/>
    <w:rsid w:val="00994BBD"/>
    <w:rsid w:val="009A27AE"/>
    <w:rsid w:val="009A7B6A"/>
    <w:rsid w:val="009B6A9B"/>
    <w:rsid w:val="009B72B4"/>
    <w:rsid w:val="009C0C41"/>
    <w:rsid w:val="009C4D6C"/>
    <w:rsid w:val="009F29C3"/>
    <w:rsid w:val="00A0738C"/>
    <w:rsid w:val="00A079BF"/>
    <w:rsid w:val="00A15C8D"/>
    <w:rsid w:val="00A34E14"/>
    <w:rsid w:val="00A361A1"/>
    <w:rsid w:val="00A53851"/>
    <w:rsid w:val="00A57C4E"/>
    <w:rsid w:val="00A65241"/>
    <w:rsid w:val="00A70803"/>
    <w:rsid w:val="00A73256"/>
    <w:rsid w:val="00A85AFB"/>
    <w:rsid w:val="00A87BCC"/>
    <w:rsid w:val="00A9329A"/>
    <w:rsid w:val="00AB7826"/>
    <w:rsid w:val="00AC52A8"/>
    <w:rsid w:val="00AC5A3D"/>
    <w:rsid w:val="00AC5D70"/>
    <w:rsid w:val="00AF146D"/>
    <w:rsid w:val="00AF5D0D"/>
    <w:rsid w:val="00B43047"/>
    <w:rsid w:val="00B449F2"/>
    <w:rsid w:val="00B44B8D"/>
    <w:rsid w:val="00B55370"/>
    <w:rsid w:val="00B5566B"/>
    <w:rsid w:val="00B607C1"/>
    <w:rsid w:val="00B73E26"/>
    <w:rsid w:val="00B77F9E"/>
    <w:rsid w:val="00B82D5C"/>
    <w:rsid w:val="00BA6164"/>
    <w:rsid w:val="00BB6E6B"/>
    <w:rsid w:val="00BB7A92"/>
    <w:rsid w:val="00BC753E"/>
    <w:rsid w:val="00BD113E"/>
    <w:rsid w:val="00BD462C"/>
    <w:rsid w:val="00BD4B13"/>
    <w:rsid w:val="00BE33E9"/>
    <w:rsid w:val="00C64180"/>
    <w:rsid w:val="00C72C2D"/>
    <w:rsid w:val="00C828AB"/>
    <w:rsid w:val="00C94B40"/>
    <w:rsid w:val="00C94FA9"/>
    <w:rsid w:val="00C95143"/>
    <w:rsid w:val="00CA4993"/>
    <w:rsid w:val="00CD5006"/>
    <w:rsid w:val="00CF34FA"/>
    <w:rsid w:val="00CF555A"/>
    <w:rsid w:val="00D034E5"/>
    <w:rsid w:val="00D2625B"/>
    <w:rsid w:val="00D26ED4"/>
    <w:rsid w:val="00D3420E"/>
    <w:rsid w:val="00D44763"/>
    <w:rsid w:val="00D46072"/>
    <w:rsid w:val="00D51A87"/>
    <w:rsid w:val="00D80C77"/>
    <w:rsid w:val="00DA1D02"/>
    <w:rsid w:val="00DD167B"/>
    <w:rsid w:val="00DF47A2"/>
    <w:rsid w:val="00DF5A15"/>
    <w:rsid w:val="00E05DD4"/>
    <w:rsid w:val="00E064A1"/>
    <w:rsid w:val="00E07B27"/>
    <w:rsid w:val="00E2676B"/>
    <w:rsid w:val="00E307DC"/>
    <w:rsid w:val="00E57028"/>
    <w:rsid w:val="00E67844"/>
    <w:rsid w:val="00E70715"/>
    <w:rsid w:val="00E70DB1"/>
    <w:rsid w:val="00E73B17"/>
    <w:rsid w:val="00EA0AC5"/>
    <w:rsid w:val="00EB7270"/>
    <w:rsid w:val="00EC1841"/>
    <w:rsid w:val="00EE12A8"/>
    <w:rsid w:val="00EE5E5B"/>
    <w:rsid w:val="00EF6087"/>
    <w:rsid w:val="00EF7035"/>
    <w:rsid w:val="00F00E48"/>
    <w:rsid w:val="00F07625"/>
    <w:rsid w:val="00F17569"/>
    <w:rsid w:val="00F217F3"/>
    <w:rsid w:val="00F265A6"/>
    <w:rsid w:val="00F26C39"/>
    <w:rsid w:val="00FA6CF8"/>
    <w:rsid w:val="00FC266F"/>
    <w:rsid w:val="00FC3E71"/>
    <w:rsid w:val="00FC5834"/>
    <w:rsid w:val="00FC5C39"/>
    <w:rsid w:val="00FC7F27"/>
    <w:rsid w:val="135B3BF3"/>
    <w:rsid w:val="1696199B"/>
    <w:rsid w:val="190F0DA8"/>
    <w:rsid w:val="262F7087"/>
    <w:rsid w:val="36FB48B4"/>
    <w:rsid w:val="399F452C"/>
    <w:rsid w:val="3ED56C7C"/>
    <w:rsid w:val="3F2B4408"/>
    <w:rsid w:val="59623355"/>
    <w:rsid w:val="5A543623"/>
    <w:rsid w:val="708B0D1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0" w:semiHidden="0" w:name="toc 1" w:locked="1"/>
    <w:lsdException w:uiPriority="0" w:semiHidden="0" w:name="toc 2" w:locked="1"/>
    <w:lsdException w:uiPriority="0" w:semiHidden="0" w:name="toc 3" w:locked="1"/>
    <w:lsdException w:uiPriority="0" w:semiHidden="0" w:name="toc 4" w:locked="1"/>
    <w:lsdException w:uiPriority="0" w:semiHidden="0" w:name="toc 5" w:locked="1"/>
    <w:lsdException w:uiPriority="0" w:semiHidden="0" w:name="toc 6" w:locked="1"/>
    <w:lsdException w:uiPriority="0" w:semiHidden="0" w:name="toc 7" w:locked="1"/>
    <w:lsdException w:uiPriority="0" w:semiHidden="0" w:name="toc 8" w:locked="1"/>
    <w:lsdException w:uiPriority="0" w:semiHidden="0" w:name="toc 9" w:locked="1"/>
    <w:lsdException w:qFormat="1" w:unhideWhenUsed="0" w:uiPriority="99" w:semiHidden="0"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99" w:semiHidden="0" w:name="caption" w:locked="1"/>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semiHidden="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link w:val="19"/>
    <w:qFormat/>
    <w:uiPriority w:val="99"/>
    <w:pPr>
      <w:keepNext/>
      <w:spacing w:line="360" w:lineRule="exact"/>
      <w:jc w:val="center"/>
      <w:outlineLvl w:val="0"/>
    </w:pPr>
    <w:rPr>
      <w:b/>
      <w:bCs/>
      <w:spacing w:val="-16"/>
    </w:rPr>
  </w:style>
  <w:style w:type="paragraph" w:styleId="3">
    <w:name w:val="heading 3"/>
    <w:basedOn w:val="1"/>
    <w:next w:val="1"/>
    <w:link w:val="37"/>
    <w:semiHidden/>
    <w:unhideWhenUsed/>
    <w:qFormat/>
    <w:locked/>
    <w:uiPriority w:val="0"/>
    <w:pPr>
      <w:keepNext/>
      <w:keepLines/>
      <w:spacing w:before="260" w:after="260" w:line="416" w:lineRule="auto"/>
      <w:outlineLvl w:val="2"/>
    </w:pPr>
    <w:rPr>
      <w:b/>
      <w:bCs/>
      <w:sz w:val="32"/>
      <w:szCs w:val="32"/>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4">
    <w:name w:val="Normal Indent"/>
    <w:basedOn w:val="1"/>
    <w:qFormat/>
    <w:uiPriority w:val="99"/>
    <w:pPr>
      <w:ind w:firstLine="420" w:firstLineChars="200"/>
    </w:pPr>
  </w:style>
  <w:style w:type="paragraph" w:styleId="5">
    <w:name w:val="caption"/>
    <w:basedOn w:val="1"/>
    <w:next w:val="1"/>
    <w:unhideWhenUsed/>
    <w:qFormat/>
    <w:locked/>
    <w:uiPriority w:val="99"/>
    <w:pPr>
      <w:wordWrap w:val="0"/>
      <w:ind w:firstLine="200" w:firstLineChars="200"/>
      <w:jc w:val="center"/>
    </w:pPr>
    <w:rPr>
      <w:rFonts w:ascii="Times New Roman" w:hAnsi="Times New Roman" w:cstheme="majorBidi"/>
      <w:b/>
      <w:szCs w:val="20"/>
    </w:rPr>
  </w:style>
  <w:style w:type="paragraph" w:styleId="6">
    <w:name w:val="Document Map"/>
    <w:basedOn w:val="1"/>
    <w:link w:val="22"/>
    <w:qFormat/>
    <w:uiPriority w:val="99"/>
    <w:rPr>
      <w:rFonts w:ascii="宋体"/>
      <w:sz w:val="18"/>
      <w:szCs w:val="18"/>
    </w:rPr>
  </w:style>
  <w:style w:type="paragraph" w:styleId="7">
    <w:name w:val="annotation text"/>
    <w:basedOn w:val="1"/>
    <w:link w:val="23"/>
    <w:qFormat/>
    <w:uiPriority w:val="0"/>
    <w:pPr>
      <w:jc w:val="left"/>
    </w:pPr>
    <w:rPr>
      <w:szCs w:val="20"/>
    </w:rPr>
  </w:style>
  <w:style w:type="paragraph" w:styleId="8">
    <w:name w:val="Body Text"/>
    <w:basedOn w:val="1"/>
    <w:link w:val="20"/>
    <w:semiHidden/>
    <w:qFormat/>
    <w:uiPriority w:val="99"/>
    <w:pPr>
      <w:spacing w:after="120"/>
    </w:pPr>
  </w:style>
  <w:style w:type="paragraph" w:styleId="9">
    <w:name w:val="Balloon Text"/>
    <w:basedOn w:val="1"/>
    <w:link w:val="24"/>
    <w:qFormat/>
    <w:uiPriority w:val="99"/>
    <w:rPr>
      <w:sz w:val="18"/>
      <w:szCs w:val="18"/>
    </w:rPr>
  </w:style>
  <w:style w:type="paragraph" w:styleId="10">
    <w:name w:val="footer"/>
    <w:basedOn w:val="1"/>
    <w:link w:val="25"/>
    <w:qFormat/>
    <w:uiPriority w:val="99"/>
    <w:pPr>
      <w:tabs>
        <w:tab w:val="center" w:pos="4153"/>
        <w:tab w:val="right" w:pos="8306"/>
      </w:tabs>
      <w:snapToGrid w:val="0"/>
      <w:jc w:val="left"/>
    </w:pPr>
    <w:rPr>
      <w:sz w:val="18"/>
      <w:szCs w:val="18"/>
    </w:rPr>
  </w:style>
  <w:style w:type="paragraph" w:styleId="11">
    <w:name w:val="header"/>
    <w:basedOn w:val="1"/>
    <w:link w:val="26"/>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3">
    <w:name w:val="annotation subject"/>
    <w:basedOn w:val="7"/>
    <w:next w:val="7"/>
    <w:link w:val="36"/>
    <w:semiHidden/>
    <w:unhideWhenUsed/>
    <w:qFormat/>
    <w:uiPriority w:val="99"/>
    <w:rPr>
      <w:b/>
      <w:bCs/>
      <w:szCs w:val="21"/>
    </w:rPr>
  </w:style>
  <w:style w:type="paragraph" w:styleId="14">
    <w:name w:val="Body Text First Indent"/>
    <w:basedOn w:val="8"/>
    <w:link w:val="21"/>
    <w:semiHidden/>
    <w:qFormat/>
    <w:uiPriority w:val="99"/>
    <w:pPr>
      <w:adjustRightInd w:val="0"/>
      <w:snapToGrid w:val="0"/>
      <w:spacing w:after="0" w:line="336" w:lineRule="auto"/>
      <w:ind w:firstLine="480" w:firstLineChars="200"/>
    </w:pPr>
    <w:rPr>
      <w:rFonts w:ascii="宋体" w:hAnsi="宋体"/>
      <w:sz w:val="24"/>
      <w:szCs w:val="20"/>
    </w:rPr>
  </w:style>
  <w:style w:type="table" w:styleId="16">
    <w:name w:val="Table Grid"/>
    <w:basedOn w:val="15"/>
    <w:qFormat/>
    <w:uiPriority w:val="9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annotation reference"/>
    <w:autoRedefine/>
    <w:qFormat/>
    <w:uiPriority w:val="0"/>
    <w:rPr>
      <w:rFonts w:cs="Times New Roman"/>
      <w:sz w:val="21"/>
    </w:rPr>
  </w:style>
  <w:style w:type="character" w:customStyle="1" w:styleId="19">
    <w:name w:val="标题 1 Char"/>
    <w:link w:val="2"/>
    <w:autoRedefine/>
    <w:qFormat/>
    <w:locked/>
    <w:uiPriority w:val="99"/>
    <w:rPr>
      <w:rFonts w:ascii="Calibri" w:hAnsi="Calibri" w:eastAsia="宋体" w:cs="Times New Roman"/>
      <w:b/>
      <w:bCs/>
      <w:spacing w:val="-16"/>
      <w:sz w:val="21"/>
      <w:szCs w:val="21"/>
    </w:rPr>
  </w:style>
  <w:style w:type="character" w:customStyle="1" w:styleId="20">
    <w:name w:val="正文文本 Char"/>
    <w:link w:val="8"/>
    <w:autoRedefine/>
    <w:semiHidden/>
    <w:qFormat/>
    <w:locked/>
    <w:uiPriority w:val="99"/>
    <w:rPr>
      <w:rFonts w:ascii="Calibri" w:hAnsi="Calibri" w:eastAsia="宋体" w:cs="Times New Roman"/>
      <w:kern w:val="2"/>
      <w:sz w:val="21"/>
      <w:szCs w:val="21"/>
    </w:rPr>
  </w:style>
  <w:style w:type="character" w:customStyle="1" w:styleId="21">
    <w:name w:val="正文首行缩进 Char1"/>
    <w:link w:val="14"/>
    <w:autoRedefine/>
    <w:semiHidden/>
    <w:qFormat/>
    <w:locked/>
    <w:uiPriority w:val="99"/>
    <w:rPr>
      <w:rFonts w:ascii="宋体" w:hAnsi="宋体" w:eastAsia="宋体" w:cs="Times New Roman"/>
      <w:kern w:val="2"/>
      <w:sz w:val="24"/>
    </w:rPr>
  </w:style>
  <w:style w:type="character" w:customStyle="1" w:styleId="22">
    <w:name w:val="文档结构图 Char"/>
    <w:link w:val="6"/>
    <w:autoRedefine/>
    <w:semiHidden/>
    <w:qFormat/>
    <w:locked/>
    <w:uiPriority w:val="99"/>
    <w:rPr>
      <w:rFonts w:ascii="宋体" w:hAnsi="Calibri" w:eastAsia="宋体" w:cs="Times New Roman"/>
      <w:kern w:val="2"/>
      <w:sz w:val="18"/>
      <w:szCs w:val="18"/>
    </w:rPr>
  </w:style>
  <w:style w:type="character" w:customStyle="1" w:styleId="23">
    <w:name w:val="批注文字 Char"/>
    <w:link w:val="7"/>
    <w:autoRedefine/>
    <w:qFormat/>
    <w:locked/>
    <w:uiPriority w:val="0"/>
    <w:rPr>
      <w:kern w:val="2"/>
      <w:sz w:val="21"/>
    </w:rPr>
  </w:style>
  <w:style w:type="character" w:customStyle="1" w:styleId="24">
    <w:name w:val="批注框文本 Char"/>
    <w:link w:val="9"/>
    <w:autoRedefine/>
    <w:semiHidden/>
    <w:qFormat/>
    <w:locked/>
    <w:uiPriority w:val="99"/>
    <w:rPr>
      <w:rFonts w:ascii="Calibri" w:hAnsi="Calibri" w:eastAsia="宋体" w:cs="Times New Roman"/>
      <w:kern w:val="2"/>
      <w:sz w:val="18"/>
      <w:szCs w:val="18"/>
    </w:rPr>
  </w:style>
  <w:style w:type="character" w:customStyle="1" w:styleId="25">
    <w:name w:val="页脚 Char"/>
    <w:link w:val="10"/>
    <w:autoRedefine/>
    <w:qFormat/>
    <w:locked/>
    <w:uiPriority w:val="99"/>
    <w:rPr>
      <w:rFonts w:ascii="Calibri" w:hAnsi="Calibri" w:eastAsia="宋体" w:cs="Times New Roman"/>
      <w:kern w:val="2"/>
      <w:sz w:val="18"/>
      <w:szCs w:val="18"/>
    </w:rPr>
  </w:style>
  <w:style w:type="character" w:customStyle="1" w:styleId="26">
    <w:name w:val="页眉 Char"/>
    <w:link w:val="11"/>
    <w:autoRedefine/>
    <w:qFormat/>
    <w:locked/>
    <w:uiPriority w:val="99"/>
    <w:rPr>
      <w:rFonts w:ascii="Calibri" w:hAnsi="Calibri" w:eastAsia="宋体" w:cs="Times New Roman"/>
      <w:kern w:val="2"/>
      <w:sz w:val="18"/>
      <w:szCs w:val="18"/>
    </w:rPr>
  </w:style>
  <w:style w:type="paragraph" w:customStyle="1" w:styleId="27">
    <w:name w:val="列出段落1"/>
    <w:basedOn w:val="1"/>
    <w:autoRedefine/>
    <w:qFormat/>
    <w:uiPriority w:val="99"/>
    <w:pPr>
      <w:ind w:firstLine="420" w:firstLineChars="200"/>
    </w:pPr>
  </w:style>
  <w:style w:type="character" w:customStyle="1" w:styleId="28">
    <w:name w:val="正文文本 (2)_"/>
    <w:link w:val="29"/>
    <w:autoRedefine/>
    <w:qFormat/>
    <w:locked/>
    <w:uiPriority w:val="99"/>
    <w:rPr>
      <w:rFonts w:ascii="宋体" w:hAnsi="宋体" w:eastAsia="宋体" w:cs="Times New Roman"/>
      <w:sz w:val="22"/>
      <w:shd w:val="clear" w:color="auto" w:fill="FFFFFF"/>
    </w:rPr>
  </w:style>
  <w:style w:type="paragraph" w:customStyle="1" w:styleId="29">
    <w:name w:val="正文文本 (2)"/>
    <w:basedOn w:val="1"/>
    <w:link w:val="28"/>
    <w:autoRedefine/>
    <w:qFormat/>
    <w:uiPriority w:val="99"/>
    <w:pPr>
      <w:shd w:val="clear" w:color="auto" w:fill="FFFFFF"/>
      <w:spacing w:line="403" w:lineRule="exact"/>
      <w:ind w:hanging="240"/>
      <w:jc w:val="distribute"/>
    </w:pPr>
    <w:rPr>
      <w:rFonts w:ascii="宋体" w:hAnsi="宋体"/>
      <w:kern w:val="0"/>
      <w:sz w:val="22"/>
      <w:szCs w:val="20"/>
    </w:rPr>
  </w:style>
  <w:style w:type="character" w:customStyle="1" w:styleId="30">
    <w:name w:val="批注文字 字符1"/>
    <w:autoRedefine/>
    <w:semiHidden/>
    <w:qFormat/>
    <w:uiPriority w:val="99"/>
    <w:rPr>
      <w:rFonts w:ascii="Calibri" w:hAnsi="Calibri" w:eastAsia="宋体" w:cs="Times New Roman"/>
      <w:kern w:val="2"/>
      <w:sz w:val="21"/>
      <w:szCs w:val="21"/>
    </w:rPr>
  </w:style>
  <w:style w:type="character" w:customStyle="1" w:styleId="31">
    <w:name w:val="批注文字 Char1"/>
    <w:autoRedefine/>
    <w:semiHidden/>
    <w:qFormat/>
    <w:locked/>
    <w:uiPriority w:val="99"/>
    <w:rPr>
      <w:rFonts w:ascii="Tahoma" w:hAnsi="Tahoma" w:eastAsia="微软雅黑" w:cs="Times New Roman"/>
      <w:sz w:val="22"/>
      <w:szCs w:val="22"/>
    </w:rPr>
  </w:style>
  <w:style w:type="character" w:customStyle="1" w:styleId="32">
    <w:name w:val="正文首行缩进 Char"/>
    <w:autoRedefine/>
    <w:semiHidden/>
    <w:qFormat/>
    <w:uiPriority w:val="99"/>
    <w:rPr>
      <w:rFonts w:ascii="Calibri" w:hAnsi="Calibri" w:eastAsia="宋体" w:cs="Times New Roman"/>
      <w:kern w:val="2"/>
      <w:sz w:val="21"/>
      <w:szCs w:val="21"/>
    </w:rPr>
  </w:style>
  <w:style w:type="character" w:customStyle="1" w:styleId="33">
    <w:name w:val="正文格式 Char"/>
    <w:link w:val="34"/>
    <w:autoRedefine/>
    <w:qFormat/>
    <w:locked/>
    <w:uiPriority w:val="0"/>
    <w:rPr>
      <w:rFonts w:ascii="宋体" w:eastAsia="宋体"/>
      <w:sz w:val="24"/>
    </w:rPr>
  </w:style>
  <w:style w:type="paragraph" w:customStyle="1" w:styleId="34">
    <w:name w:val="正文格式"/>
    <w:basedOn w:val="1"/>
    <w:link w:val="33"/>
    <w:autoRedefine/>
    <w:qFormat/>
    <w:uiPriority w:val="0"/>
    <w:pPr>
      <w:spacing w:line="360" w:lineRule="auto"/>
      <w:ind w:firstLine="482"/>
    </w:pPr>
    <w:rPr>
      <w:rFonts w:ascii="宋体" w:hAnsi="宋体"/>
      <w:kern w:val="0"/>
      <w:sz w:val="24"/>
      <w:szCs w:val="24"/>
    </w:rPr>
  </w:style>
  <w:style w:type="paragraph" w:styleId="35">
    <w:name w:val="List Paragraph"/>
    <w:basedOn w:val="1"/>
    <w:autoRedefine/>
    <w:qFormat/>
    <w:uiPriority w:val="99"/>
    <w:pPr>
      <w:ind w:firstLine="420" w:firstLineChars="200"/>
    </w:pPr>
  </w:style>
  <w:style w:type="character" w:customStyle="1" w:styleId="36">
    <w:name w:val="批注主题 Char"/>
    <w:link w:val="13"/>
    <w:autoRedefine/>
    <w:semiHidden/>
    <w:qFormat/>
    <w:uiPriority w:val="99"/>
    <w:rPr>
      <w:b/>
      <w:bCs/>
      <w:kern w:val="2"/>
      <w:sz w:val="21"/>
      <w:szCs w:val="21"/>
    </w:rPr>
  </w:style>
  <w:style w:type="character" w:customStyle="1" w:styleId="37">
    <w:name w:val="标题 3 Char"/>
    <w:link w:val="3"/>
    <w:autoRedefine/>
    <w:semiHidden/>
    <w:qFormat/>
    <w:uiPriority w:val="0"/>
    <w:rPr>
      <w:b/>
      <w:bCs/>
      <w:kern w:val="2"/>
      <w:sz w:val="32"/>
      <w:szCs w:val="32"/>
    </w:rPr>
  </w:style>
  <w:style w:type="paragraph" w:customStyle="1" w:styleId="38">
    <w:name w:val="修订1"/>
    <w:autoRedefine/>
    <w:hidden/>
    <w:semiHidden/>
    <w:qFormat/>
    <w:uiPriority w:val="99"/>
    <w:rPr>
      <w:rFonts w:ascii="Calibri" w:hAnsi="Calibri" w:eastAsia="宋体" w:cs="Times New Roman"/>
      <w:kern w:val="2"/>
      <w:sz w:val="21"/>
      <w:szCs w:val="21"/>
      <w:lang w:val="en-US" w:eastAsia="zh-CN" w:bidi="ar-SA"/>
    </w:rPr>
  </w:style>
  <w:style w:type="paragraph" w:customStyle="1" w:styleId="39">
    <w:name w:val="LL表格内容"/>
    <w:basedOn w:val="1"/>
    <w:link w:val="40"/>
    <w:autoRedefine/>
    <w:qFormat/>
    <w:uiPriority w:val="0"/>
    <w:pPr>
      <w:wordWrap w:val="0"/>
      <w:overflowPunct w:val="0"/>
      <w:topLinePunct/>
      <w:autoSpaceDE w:val="0"/>
      <w:autoSpaceDN w:val="0"/>
      <w:jc w:val="center"/>
    </w:pPr>
    <w:rPr>
      <w:rFonts w:ascii="Times New Roman" w:hAnsi="Times New Roman" w:cs="宋体"/>
      <w:kern w:val="0"/>
      <w:szCs w:val="22"/>
      <w:lang w:val="zh-CN" w:bidi="zh-CN"/>
    </w:rPr>
  </w:style>
  <w:style w:type="character" w:customStyle="1" w:styleId="40">
    <w:name w:val="LL表格内容 字符"/>
    <w:basedOn w:val="17"/>
    <w:link w:val="39"/>
    <w:autoRedefine/>
    <w:qFormat/>
    <w:uiPriority w:val="0"/>
    <w:rPr>
      <w:rFonts w:ascii="Times New Roman" w:hAnsi="Times New Roman" w:cs="宋体"/>
      <w:sz w:val="21"/>
      <w:szCs w:val="22"/>
      <w:lang w:val="zh-CN" w:bidi="zh-CN"/>
    </w:rPr>
  </w:style>
  <w:style w:type="paragraph" w:customStyle="1" w:styleId="41">
    <w:name w:val="LL标题1"/>
    <w:basedOn w:val="42"/>
    <w:autoRedefine/>
    <w:qFormat/>
    <w:uiPriority w:val="0"/>
    <w:pPr>
      <w:jc w:val="center"/>
      <w:outlineLvl w:val="0"/>
    </w:pPr>
    <w:rPr>
      <w:sz w:val="36"/>
      <w:szCs w:val="36"/>
    </w:rPr>
  </w:style>
  <w:style w:type="paragraph" w:customStyle="1" w:styleId="42">
    <w:name w:val="LL标题3"/>
    <w:basedOn w:val="12"/>
    <w:autoRedefine/>
    <w:qFormat/>
    <w:uiPriority w:val="0"/>
    <w:pPr>
      <w:spacing w:beforeAutospacing="0" w:afterAutospacing="0"/>
      <w:outlineLvl w:val="2"/>
    </w:pPr>
    <w:rPr>
      <w:b/>
      <w:snapToGrid w:val="0"/>
      <w:sz w:val="28"/>
      <w:szCs w:val="3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EAABA-10DC-45F0-A952-00CD0CB31CF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4060</Words>
  <Characters>4723</Characters>
  <Lines>34</Lines>
  <Paragraphs>9</Paragraphs>
  <TotalTime>20</TotalTime>
  <ScaleCrop>false</ScaleCrop>
  <LinksUpToDate>false</LinksUpToDate>
  <CharactersWithSpaces>4757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2023-12-21T01:48:00Z</dcterms:created>
  <dc:creator>林福青</dc:creator>
  <cp:lastModifiedBy>LDS</cp:lastModifiedBy>
  <cp:lastPrinted>2024-05-09T02:54:00Z</cp:lastPrinted>
  <dcterms:modified xsi:type="dcterms:W3CDTF">2025-06-06T03:29:15Z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CAAD67337F994EB283FFCFDBA0C897A7_13</vt:lpwstr>
  </property>
  <property fmtid="{D5CDD505-2E9C-101B-9397-08002B2CF9AE}" pid="4" name="KSOTemplateDocerSaveRecord">
    <vt:lpwstr>eyJoZGlkIjoiNGNkNDE5NGRjYThjZjJjMWU1Zjg3NmIzM2VmOTFjNDIiLCJ1c2VySWQiOiIyNTM5Nzk3NzQifQ==</vt:lpwstr>
  </property>
</Properties>
</file>