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480"/>
        <w:rPr>
          <w:color w:val="auto"/>
        </w:rPr>
      </w:pPr>
    </w:p>
    <w:p>
      <w:pPr>
        <w:ind w:firstLine="480"/>
        <w:rPr>
          <w:color w:val="auto"/>
        </w:rPr>
      </w:pPr>
    </w:p>
    <w:p>
      <w:pPr>
        <w:ind w:firstLine="880"/>
        <w:rPr>
          <w:color w:val="auto"/>
          <w:sz w:val="44"/>
          <w:szCs w:val="44"/>
        </w:rPr>
      </w:pPr>
    </w:p>
    <w:p>
      <w:pPr>
        <w:ind w:firstLine="880"/>
        <w:rPr>
          <w:color w:val="auto"/>
          <w:sz w:val="44"/>
          <w:szCs w:val="44"/>
        </w:rPr>
      </w:pPr>
    </w:p>
    <w:p>
      <w:pPr>
        <w:snapToGrid w:val="0"/>
        <w:ind w:firstLine="0" w:firstLineChars="0"/>
        <w:jc w:val="center"/>
        <w:rPr>
          <w:b/>
          <w:color w:val="auto"/>
          <w:sz w:val="44"/>
          <w:szCs w:val="44"/>
        </w:rPr>
      </w:pPr>
      <w:bookmarkStart w:id="0" w:name="_Toc142547986"/>
      <w:bookmarkStart w:id="1" w:name="_Toc103676787"/>
      <w:bookmarkStart w:id="2" w:name="_Toc102977565"/>
      <w:bookmarkStart w:id="3" w:name="_Toc102637498"/>
      <w:bookmarkStart w:id="4" w:name="_Toc145409130"/>
      <w:bookmarkStart w:id="5" w:name="_Toc103678023"/>
      <w:bookmarkStart w:id="6" w:name="_Toc103667747"/>
      <w:bookmarkStart w:id="7" w:name="_Hlk142547860"/>
      <w:r>
        <w:rPr>
          <w:rFonts w:hint="eastAsia"/>
          <w:b/>
          <w:color w:val="auto"/>
          <w:sz w:val="44"/>
          <w:szCs w:val="44"/>
        </w:rPr>
        <w:t>茂名市富临门科技有限公司年产3000套金属大门建设项目</w:t>
      </w:r>
      <w:r>
        <w:rPr>
          <w:b/>
          <w:color w:val="auto"/>
          <w:sz w:val="44"/>
          <w:szCs w:val="44"/>
        </w:rPr>
        <w:t>竣工环保验收监测报告</w:t>
      </w:r>
      <w:bookmarkEnd w:id="0"/>
      <w:bookmarkEnd w:id="1"/>
      <w:bookmarkEnd w:id="2"/>
      <w:bookmarkEnd w:id="3"/>
      <w:bookmarkEnd w:id="4"/>
      <w:bookmarkEnd w:id="5"/>
      <w:bookmarkEnd w:id="6"/>
    </w:p>
    <w:bookmarkEnd w:id="7"/>
    <w:p>
      <w:pPr>
        <w:ind w:firstLine="480"/>
        <w:rPr>
          <w:color w:val="auto"/>
        </w:rPr>
      </w:pPr>
    </w:p>
    <w:p>
      <w:pPr>
        <w:ind w:firstLine="480"/>
        <w:rPr>
          <w:color w:val="auto"/>
        </w:rPr>
      </w:pPr>
    </w:p>
    <w:p>
      <w:pPr>
        <w:ind w:firstLine="480"/>
        <w:rPr>
          <w:color w:val="auto"/>
        </w:rPr>
      </w:pPr>
    </w:p>
    <w:p>
      <w:pPr>
        <w:ind w:firstLine="480"/>
        <w:rPr>
          <w:color w:val="auto"/>
        </w:rPr>
      </w:pPr>
    </w:p>
    <w:p>
      <w:pPr>
        <w:ind w:firstLine="480"/>
        <w:rPr>
          <w:color w:val="auto"/>
        </w:rPr>
      </w:pPr>
    </w:p>
    <w:p>
      <w:pPr>
        <w:ind w:firstLine="480"/>
        <w:rPr>
          <w:color w:val="auto"/>
        </w:rPr>
      </w:pPr>
    </w:p>
    <w:p>
      <w:pPr>
        <w:ind w:firstLine="480"/>
        <w:rPr>
          <w:color w:val="auto"/>
        </w:rPr>
      </w:pPr>
    </w:p>
    <w:p>
      <w:pPr>
        <w:ind w:firstLine="480"/>
        <w:rPr>
          <w:color w:val="auto"/>
        </w:rPr>
      </w:pPr>
    </w:p>
    <w:p>
      <w:pPr>
        <w:ind w:firstLine="480"/>
        <w:rPr>
          <w:color w:val="auto"/>
        </w:rPr>
      </w:pPr>
    </w:p>
    <w:p>
      <w:pPr>
        <w:ind w:firstLine="480"/>
        <w:rPr>
          <w:color w:val="auto"/>
        </w:rPr>
      </w:pPr>
    </w:p>
    <w:p>
      <w:pPr>
        <w:ind w:firstLine="480"/>
        <w:rPr>
          <w:color w:val="auto"/>
        </w:rPr>
      </w:pPr>
    </w:p>
    <w:p>
      <w:pPr>
        <w:spacing w:line="480" w:lineRule="auto"/>
        <w:ind w:firstLine="562"/>
        <w:jc w:val="center"/>
        <w:rPr>
          <w:b/>
          <w:color w:val="auto"/>
          <w:sz w:val="28"/>
          <w:szCs w:val="28"/>
        </w:rPr>
      </w:pPr>
      <w:r>
        <w:rPr>
          <w:b/>
          <w:color w:val="auto"/>
          <w:sz w:val="28"/>
          <w:szCs w:val="28"/>
        </w:rPr>
        <w:t>建设单位：</w:t>
      </w:r>
      <w:bookmarkStart w:id="8" w:name="_Hlk163569595"/>
      <w:r>
        <w:rPr>
          <w:rFonts w:hint="eastAsia"/>
          <w:b/>
          <w:color w:val="auto"/>
          <w:sz w:val="28"/>
          <w:szCs w:val="28"/>
        </w:rPr>
        <w:t>茂名市富临门科技有限公司</w:t>
      </w:r>
    </w:p>
    <w:bookmarkEnd w:id="8"/>
    <w:p>
      <w:pPr>
        <w:spacing w:line="480" w:lineRule="auto"/>
        <w:ind w:firstLine="562"/>
        <w:jc w:val="center"/>
        <w:rPr>
          <w:b/>
          <w:color w:val="auto"/>
          <w:sz w:val="28"/>
          <w:szCs w:val="28"/>
        </w:rPr>
      </w:pPr>
      <w:r>
        <w:rPr>
          <w:b/>
          <w:color w:val="auto"/>
          <w:sz w:val="28"/>
          <w:szCs w:val="28"/>
        </w:rPr>
        <w:t>编制单位：</w:t>
      </w:r>
      <w:r>
        <w:rPr>
          <w:rFonts w:hint="eastAsia"/>
          <w:b/>
          <w:color w:val="auto"/>
          <w:sz w:val="28"/>
          <w:szCs w:val="28"/>
        </w:rPr>
        <w:t>茂名市富临门科技有限公司</w:t>
      </w:r>
    </w:p>
    <w:p>
      <w:pPr>
        <w:ind w:firstLine="0" w:firstLineChars="0"/>
        <w:jc w:val="center"/>
        <w:rPr>
          <w:b/>
          <w:color w:val="auto"/>
          <w:sz w:val="28"/>
        </w:rPr>
      </w:pPr>
      <w:r>
        <w:rPr>
          <w:rFonts w:hint="eastAsia"/>
          <w:b/>
          <w:color w:val="auto"/>
          <w:sz w:val="28"/>
        </w:rPr>
        <w:t>二〇二五年十二月</w:t>
      </w:r>
    </w:p>
    <w:p>
      <w:pPr>
        <w:widowControl/>
        <w:spacing w:line="240" w:lineRule="auto"/>
        <w:ind w:firstLine="0" w:firstLineChars="0"/>
        <w:jc w:val="left"/>
        <w:rPr>
          <w:color w:val="auto"/>
        </w:rPr>
      </w:pPr>
      <w:r>
        <w:rPr>
          <w:color w:val="auto"/>
        </w:rPr>
        <w:br w:type="page"/>
      </w:r>
    </w:p>
    <w:p>
      <w:pPr>
        <w:ind w:firstLine="562"/>
        <w:rPr>
          <w:color w:val="auto"/>
          <w:sz w:val="32"/>
        </w:rPr>
      </w:pPr>
      <w:r>
        <w:rPr>
          <w:b/>
          <w:color w:val="auto"/>
          <w:sz w:val="28"/>
        </w:rPr>
        <w:t>建设单位法人代表:</w:t>
      </w:r>
      <w:r>
        <w:rPr>
          <w:color w:val="auto"/>
          <w:sz w:val="28"/>
        </w:rPr>
        <w:tab/>
      </w:r>
      <w:r>
        <w:rPr>
          <w:color w:val="auto"/>
          <w:sz w:val="28"/>
        </w:rPr>
        <w:t xml:space="preserve">  </w:t>
      </w:r>
      <w:r>
        <w:rPr>
          <w:rFonts w:hint="eastAsia"/>
          <w:color w:val="auto"/>
          <w:sz w:val="28"/>
        </w:rPr>
        <w:t>杨子光</w:t>
      </w:r>
      <w:r>
        <w:rPr>
          <w:color w:val="auto"/>
          <w:sz w:val="28"/>
        </w:rPr>
        <w:t xml:space="preserve">        （签字）</w:t>
      </w:r>
    </w:p>
    <w:p>
      <w:pPr>
        <w:ind w:firstLine="562"/>
        <w:rPr>
          <w:color w:val="auto"/>
          <w:sz w:val="28"/>
        </w:rPr>
      </w:pPr>
      <w:r>
        <w:rPr>
          <w:b/>
          <w:color w:val="auto"/>
          <w:sz w:val="28"/>
        </w:rPr>
        <w:t>编制单位法人代表:</w:t>
      </w:r>
      <w:r>
        <w:rPr>
          <w:color w:val="auto"/>
          <w:sz w:val="28"/>
        </w:rPr>
        <w:tab/>
      </w:r>
      <w:r>
        <w:rPr>
          <w:color w:val="auto"/>
          <w:sz w:val="28"/>
        </w:rPr>
        <w:t xml:space="preserve">  </w:t>
      </w:r>
      <w:r>
        <w:rPr>
          <w:rFonts w:hint="eastAsia"/>
          <w:color w:val="auto"/>
          <w:sz w:val="28"/>
        </w:rPr>
        <w:t>杨子光</w:t>
      </w:r>
      <w:r>
        <w:rPr>
          <w:color w:val="auto"/>
          <w:sz w:val="28"/>
        </w:rPr>
        <w:t xml:space="preserve">        （签字）</w:t>
      </w:r>
    </w:p>
    <w:p>
      <w:pPr>
        <w:ind w:firstLine="562"/>
        <w:rPr>
          <w:bCs/>
          <w:color w:val="auto"/>
          <w:sz w:val="28"/>
        </w:rPr>
      </w:pPr>
      <w:r>
        <w:rPr>
          <w:b/>
          <w:color w:val="auto"/>
          <w:sz w:val="28"/>
        </w:rPr>
        <w:t>项  目  负  责  人:</w:t>
      </w:r>
      <w:r>
        <w:rPr>
          <w:rFonts w:hint="eastAsia"/>
          <w:b/>
          <w:color w:val="auto"/>
          <w:sz w:val="28"/>
        </w:rPr>
        <w:t xml:space="preserve"> </w:t>
      </w:r>
      <w:r>
        <w:rPr>
          <w:rFonts w:hint="eastAsia"/>
          <w:bCs/>
          <w:color w:val="auto"/>
          <w:sz w:val="28"/>
        </w:rPr>
        <w:t>韩玉成</w:t>
      </w:r>
    </w:p>
    <w:p>
      <w:pPr>
        <w:ind w:firstLine="562"/>
        <w:rPr>
          <w:bCs/>
          <w:color w:val="auto"/>
          <w:sz w:val="28"/>
        </w:rPr>
      </w:pPr>
      <w:r>
        <w:rPr>
          <w:b/>
          <w:color w:val="auto"/>
          <w:sz w:val="28"/>
        </w:rPr>
        <w:t>报  告  编  写  人</w:t>
      </w:r>
      <w:r>
        <w:rPr>
          <w:rFonts w:hint="eastAsia"/>
          <w:b/>
          <w:color w:val="auto"/>
          <w:sz w:val="28"/>
        </w:rPr>
        <w:t>：</w:t>
      </w:r>
      <w:r>
        <w:rPr>
          <w:rFonts w:hint="eastAsia"/>
          <w:bCs/>
          <w:color w:val="auto"/>
          <w:sz w:val="28"/>
        </w:rPr>
        <w:t>韩玉成</w:t>
      </w:r>
    </w:p>
    <w:p>
      <w:pPr>
        <w:ind w:firstLine="562"/>
        <w:rPr>
          <w:b/>
          <w:color w:val="auto"/>
          <w:sz w:val="28"/>
        </w:rPr>
      </w:pPr>
    </w:p>
    <w:p>
      <w:pPr>
        <w:pStyle w:val="44"/>
        <w:ind w:left="1522" w:firstLine="562"/>
        <w:rPr>
          <w:rFonts w:ascii="Times New Roman" w:cs="Times New Roman"/>
          <w:b/>
          <w:color w:val="auto"/>
          <w:sz w:val="28"/>
        </w:rPr>
      </w:pPr>
    </w:p>
    <w:p>
      <w:pPr>
        <w:pStyle w:val="44"/>
        <w:ind w:left="1522" w:firstLine="562"/>
        <w:rPr>
          <w:rFonts w:ascii="Times New Roman" w:cs="Times New Roman"/>
          <w:b/>
          <w:color w:val="auto"/>
          <w:sz w:val="28"/>
        </w:rPr>
      </w:pPr>
    </w:p>
    <w:p>
      <w:pPr>
        <w:pStyle w:val="44"/>
        <w:ind w:left="1522" w:firstLine="562"/>
        <w:rPr>
          <w:rFonts w:ascii="Times New Roman" w:cs="Times New Roman"/>
          <w:b/>
          <w:color w:val="auto"/>
          <w:sz w:val="28"/>
        </w:rPr>
      </w:pPr>
    </w:p>
    <w:p>
      <w:pPr>
        <w:pStyle w:val="44"/>
        <w:ind w:left="1522" w:firstLine="562"/>
        <w:rPr>
          <w:rFonts w:ascii="Times New Roman" w:cs="Times New Roman"/>
          <w:b/>
          <w:color w:val="auto"/>
          <w:sz w:val="28"/>
        </w:rPr>
      </w:pPr>
    </w:p>
    <w:p>
      <w:pPr>
        <w:pStyle w:val="44"/>
        <w:ind w:left="1522" w:firstLine="562"/>
        <w:rPr>
          <w:rFonts w:ascii="Times New Roman" w:cs="Times New Roman"/>
          <w:b/>
          <w:color w:val="auto"/>
          <w:sz w:val="28"/>
        </w:rPr>
      </w:pPr>
    </w:p>
    <w:p>
      <w:pPr>
        <w:pStyle w:val="44"/>
        <w:ind w:left="1520" w:firstLine="480"/>
        <w:rPr>
          <w:rFonts w:ascii="Times New Roman" w:cs="Times New Roman"/>
          <w:color w:val="auto"/>
        </w:rPr>
      </w:pPr>
    </w:p>
    <w:p>
      <w:pPr>
        <w:ind w:firstLine="480"/>
        <w:rPr>
          <w:color w:val="auto"/>
        </w:rPr>
      </w:pPr>
      <w:r>
        <w:rPr>
          <w:color w:val="auto"/>
        </w:rPr>
        <w:t>建设单位：</w:t>
      </w:r>
      <w:r>
        <w:rPr>
          <w:rFonts w:hint="eastAsia"/>
          <w:color w:val="auto"/>
          <w:u w:val="single"/>
        </w:rPr>
        <w:t>茂名市富临门科技有限公司</w:t>
      </w:r>
      <w:r>
        <w:rPr>
          <w:color w:val="auto"/>
        </w:rPr>
        <w:t>（盖章）</w:t>
      </w:r>
    </w:p>
    <w:p>
      <w:pPr>
        <w:ind w:firstLine="480"/>
        <w:rPr>
          <w:color w:val="auto"/>
          <w:kern w:val="0"/>
        </w:rPr>
      </w:pPr>
      <w:r>
        <w:rPr>
          <w:color w:val="auto"/>
        </w:rPr>
        <w:t>电话：</w:t>
      </w:r>
      <w:r>
        <w:rPr>
          <w:color w:val="auto"/>
          <w:kern w:val="0"/>
        </w:rPr>
        <w:t>13727826688</w:t>
      </w:r>
    </w:p>
    <w:p>
      <w:pPr>
        <w:ind w:firstLine="480"/>
        <w:rPr>
          <w:color w:val="auto"/>
        </w:rPr>
      </w:pPr>
      <w:r>
        <w:rPr>
          <w:color w:val="auto"/>
        </w:rPr>
        <w:t>传真：/</w:t>
      </w:r>
    </w:p>
    <w:p>
      <w:pPr>
        <w:ind w:firstLine="480"/>
        <w:rPr>
          <w:color w:val="auto"/>
        </w:rPr>
      </w:pPr>
      <w:r>
        <w:rPr>
          <w:color w:val="auto"/>
        </w:rPr>
        <w:t>邮编：525000</w:t>
      </w:r>
    </w:p>
    <w:p>
      <w:pPr>
        <w:ind w:firstLine="480"/>
        <w:rPr>
          <w:color w:val="auto"/>
        </w:rPr>
      </w:pPr>
      <w:r>
        <w:rPr>
          <w:color w:val="auto"/>
        </w:rPr>
        <w:t>地址：</w:t>
      </w:r>
      <w:r>
        <w:rPr>
          <w:rFonts w:hint="eastAsia"/>
          <w:color w:val="auto"/>
        </w:rPr>
        <w:t xml:space="preserve">茂名市电白区沙院镇沙院政府后2号仓库之一     </w:t>
      </w:r>
    </w:p>
    <w:p>
      <w:pPr>
        <w:pStyle w:val="44"/>
        <w:spacing w:line="360" w:lineRule="auto"/>
        <w:ind w:firstLine="480"/>
        <w:rPr>
          <w:rFonts w:ascii="Times New Roman"/>
          <w:color w:val="auto"/>
        </w:rPr>
      </w:pPr>
    </w:p>
    <w:p>
      <w:pPr>
        <w:pStyle w:val="44"/>
        <w:spacing w:line="360" w:lineRule="auto"/>
        <w:ind w:firstLine="480"/>
        <w:rPr>
          <w:rFonts w:ascii="Times New Roman"/>
          <w:color w:val="auto"/>
        </w:rPr>
      </w:pPr>
    </w:p>
    <w:p>
      <w:pPr>
        <w:ind w:firstLine="480"/>
        <w:rPr>
          <w:color w:val="auto"/>
        </w:rPr>
      </w:pPr>
      <w:r>
        <w:rPr>
          <w:color w:val="auto"/>
        </w:rPr>
        <w:t>建设单位：</w:t>
      </w:r>
      <w:r>
        <w:rPr>
          <w:rFonts w:hint="eastAsia"/>
          <w:color w:val="auto"/>
          <w:u w:val="single"/>
        </w:rPr>
        <w:t>茂名市富临门科技有限公司</w:t>
      </w:r>
      <w:r>
        <w:rPr>
          <w:color w:val="auto"/>
        </w:rPr>
        <w:t>（盖章）</w:t>
      </w:r>
    </w:p>
    <w:p>
      <w:pPr>
        <w:ind w:firstLine="480"/>
        <w:rPr>
          <w:color w:val="auto"/>
          <w:kern w:val="0"/>
        </w:rPr>
      </w:pPr>
      <w:r>
        <w:rPr>
          <w:color w:val="auto"/>
        </w:rPr>
        <w:t>电话：</w:t>
      </w:r>
      <w:r>
        <w:rPr>
          <w:color w:val="auto"/>
          <w:kern w:val="0"/>
        </w:rPr>
        <w:t>13727826688</w:t>
      </w:r>
    </w:p>
    <w:p>
      <w:pPr>
        <w:ind w:firstLine="480"/>
        <w:rPr>
          <w:color w:val="auto"/>
        </w:rPr>
      </w:pPr>
      <w:r>
        <w:rPr>
          <w:color w:val="auto"/>
        </w:rPr>
        <w:t>传真：/</w:t>
      </w:r>
    </w:p>
    <w:p>
      <w:pPr>
        <w:ind w:firstLine="480"/>
        <w:rPr>
          <w:color w:val="auto"/>
        </w:rPr>
      </w:pPr>
      <w:r>
        <w:rPr>
          <w:color w:val="auto"/>
        </w:rPr>
        <w:t>邮编：525000</w:t>
      </w:r>
    </w:p>
    <w:p>
      <w:pPr>
        <w:ind w:firstLine="480"/>
        <w:rPr>
          <w:color w:val="auto"/>
        </w:rPr>
      </w:pPr>
      <w:r>
        <w:rPr>
          <w:color w:val="auto"/>
        </w:rPr>
        <w:t>地址：</w:t>
      </w:r>
      <w:r>
        <w:rPr>
          <w:rFonts w:hint="eastAsia"/>
          <w:color w:val="auto"/>
        </w:rPr>
        <w:t>茂名市电白区沙院镇沙院政府后2号仓库之一</w:t>
      </w:r>
    </w:p>
    <w:p>
      <w:pPr>
        <w:ind w:firstLine="480"/>
        <w:rPr>
          <w:color w:val="auto"/>
        </w:rPr>
        <w:sectPr>
          <w:headerReference r:id="rId5" w:type="first"/>
          <w:footerReference r:id="rId8" w:type="first"/>
          <w:headerReference r:id="rId3" w:type="default"/>
          <w:footerReference r:id="rId6" w:type="default"/>
          <w:headerReference r:id="rId4" w:type="even"/>
          <w:footerReference r:id="rId7" w:type="even"/>
          <w:pgSz w:w="11906" w:h="16838"/>
          <w:pgMar w:top="1418" w:right="1418" w:bottom="1418" w:left="1418" w:header="851" w:footer="992" w:gutter="0"/>
          <w:cols w:space="425" w:num="1"/>
          <w:docGrid w:type="lines" w:linePitch="312" w:charSpace="0"/>
        </w:sectPr>
      </w:pPr>
    </w:p>
    <w:sdt>
      <w:sdtPr>
        <w:rPr>
          <w:rFonts w:ascii="宋体" w:hAnsi="宋体" w:eastAsia="宋体" w:cstheme="minorBidi"/>
          <w:color w:val="auto"/>
          <w:kern w:val="2"/>
          <w:sz w:val="24"/>
          <w:szCs w:val="22"/>
          <w:lang w:val="zh-CN"/>
        </w:rPr>
        <w:id w:val="-882712005"/>
        <w:docPartObj>
          <w:docPartGallery w:val="Table of Contents"/>
          <w:docPartUnique/>
        </w:docPartObj>
      </w:sdtPr>
      <w:sdtEndPr>
        <w:rPr>
          <w:rFonts w:ascii="Times New Roman" w:hAnsi="Times New Roman" w:eastAsia="宋体" w:cs="Times New Roman"/>
          <w:b/>
          <w:bCs/>
          <w:color w:val="auto"/>
          <w:kern w:val="2"/>
          <w:sz w:val="21"/>
          <w:szCs w:val="21"/>
          <w:lang w:val="zh-CN"/>
        </w:rPr>
      </w:sdtEndPr>
      <w:sdtContent>
        <w:p>
          <w:pPr>
            <w:pStyle w:val="39"/>
            <w:spacing w:before="0" w:line="288" w:lineRule="auto"/>
            <w:ind w:firstLine="482"/>
            <w:jc w:val="center"/>
            <w:rPr>
              <w:rFonts w:hint="eastAsia" w:ascii="宋体" w:hAnsi="宋体" w:eastAsia="宋体"/>
              <w:b/>
              <w:color w:val="auto"/>
            </w:rPr>
          </w:pPr>
          <w:r>
            <w:rPr>
              <w:rFonts w:ascii="宋体" w:hAnsi="宋体" w:eastAsia="宋体"/>
              <w:b/>
              <w:color w:val="auto"/>
              <w:lang w:val="zh-CN"/>
            </w:rPr>
            <w:t>目</w:t>
          </w:r>
          <w:r>
            <w:rPr>
              <w:rFonts w:hint="eastAsia" w:ascii="宋体" w:hAnsi="宋体" w:eastAsia="宋体"/>
              <w:b/>
              <w:color w:val="auto"/>
              <w:lang w:val="zh-CN"/>
            </w:rPr>
            <w:t xml:space="preserve"> </w:t>
          </w:r>
          <w:r>
            <w:rPr>
              <w:rFonts w:ascii="宋体" w:hAnsi="宋体" w:eastAsia="宋体"/>
              <w:b/>
              <w:color w:val="auto"/>
              <w:lang w:val="zh-CN"/>
            </w:rPr>
            <w:t>录</w:t>
          </w:r>
        </w:p>
        <w:p>
          <w:pPr>
            <w:pStyle w:val="14"/>
            <w:tabs>
              <w:tab w:val="right" w:leader="dot" w:pos="8390"/>
            </w:tabs>
            <w:rPr>
              <w:color w:val="auto"/>
            </w:rPr>
          </w:pPr>
          <w:r>
            <w:rPr>
              <w:rFonts w:cs="Times New Roman"/>
              <w:b/>
              <w:bCs/>
              <w:color w:val="auto"/>
              <w:sz w:val="21"/>
              <w:szCs w:val="21"/>
              <w:lang w:val="zh-CN"/>
            </w:rPr>
            <w:fldChar w:fldCharType="begin"/>
          </w:r>
          <w:r>
            <w:rPr>
              <w:rFonts w:cs="Times New Roman"/>
              <w:b/>
              <w:bCs/>
              <w:color w:val="auto"/>
              <w:sz w:val="21"/>
              <w:szCs w:val="21"/>
              <w:lang w:val="zh-CN"/>
            </w:rPr>
            <w:instrText xml:space="preserve"> TOC \o "1-3" \h \z \u </w:instrText>
          </w:r>
          <w:r>
            <w:rPr>
              <w:rFonts w:cs="Times New Roman"/>
              <w:b/>
              <w:bCs/>
              <w:color w:val="auto"/>
              <w:sz w:val="21"/>
              <w:szCs w:val="21"/>
              <w:lang w:val="zh-CN"/>
            </w:rPr>
            <w:fldChar w:fldCharType="separate"/>
          </w:r>
          <w:r>
            <w:rPr>
              <w:rFonts w:cs="Times New Roman"/>
              <w:bCs/>
              <w:color w:val="auto"/>
              <w:szCs w:val="21"/>
              <w:lang w:val="zh-CN"/>
            </w:rPr>
            <w:fldChar w:fldCharType="begin"/>
          </w:r>
          <w:r>
            <w:rPr>
              <w:rFonts w:cs="Times New Roman"/>
              <w:bCs/>
              <w:color w:val="auto"/>
              <w:szCs w:val="21"/>
              <w:lang w:val="zh-CN"/>
            </w:rPr>
            <w:instrText xml:space="preserve"> HYPERLINK \l _Toc17063 </w:instrText>
          </w:r>
          <w:r>
            <w:rPr>
              <w:rFonts w:cs="Times New Roman"/>
              <w:bCs/>
              <w:color w:val="auto"/>
              <w:szCs w:val="21"/>
              <w:lang w:val="zh-CN"/>
            </w:rPr>
            <w:fldChar w:fldCharType="separate"/>
          </w:r>
          <w:r>
            <w:rPr>
              <w:rFonts w:hint="eastAsia"/>
              <w:color w:val="auto"/>
              <w:szCs w:val="32"/>
            </w:rPr>
            <w:t>1 项目概况</w:t>
          </w:r>
          <w:r>
            <w:rPr>
              <w:color w:val="auto"/>
            </w:rPr>
            <w:tab/>
          </w:r>
          <w:r>
            <w:rPr>
              <w:color w:val="auto"/>
            </w:rPr>
            <w:fldChar w:fldCharType="begin"/>
          </w:r>
          <w:r>
            <w:rPr>
              <w:color w:val="auto"/>
            </w:rPr>
            <w:instrText xml:space="preserve"> PAGEREF _Toc17063 \h </w:instrText>
          </w:r>
          <w:r>
            <w:rPr>
              <w:color w:val="auto"/>
            </w:rPr>
            <w:fldChar w:fldCharType="separate"/>
          </w:r>
          <w:r>
            <w:rPr>
              <w:color w:val="auto"/>
            </w:rPr>
            <w:t>1</w:t>
          </w:r>
          <w:r>
            <w:rPr>
              <w:color w:val="auto"/>
            </w:rPr>
            <w:fldChar w:fldCharType="end"/>
          </w:r>
          <w:r>
            <w:rPr>
              <w:rFonts w:cs="Times New Roman"/>
              <w:bCs/>
              <w:color w:val="auto"/>
              <w:szCs w:val="21"/>
              <w:lang w:val="zh-CN"/>
            </w:rPr>
            <w:fldChar w:fldCharType="end"/>
          </w:r>
        </w:p>
        <w:p>
          <w:pPr>
            <w:pStyle w:val="14"/>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_Toc27689 </w:instrText>
          </w:r>
          <w:r>
            <w:rPr>
              <w:rFonts w:cs="Times New Roman"/>
              <w:bCs/>
              <w:color w:val="auto"/>
              <w:szCs w:val="21"/>
              <w:lang w:val="zh-CN"/>
            </w:rPr>
            <w:fldChar w:fldCharType="separate"/>
          </w:r>
          <w:r>
            <w:rPr>
              <w:rFonts w:hint="eastAsia"/>
              <w:color w:val="auto"/>
              <w:szCs w:val="32"/>
            </w:rPr>
            <w:t>2 验收依据</w:t>
          </w:r>
          <w:r>
            <w:rPr>
              <w:color w:val="auto"/>
            </w:rPr>
            <w:tab/>
          </w:r>
          <w:r>
            <w:rPr>
              <w:color w:val="auto"/>
            </w:rPr>
            <w:fldChar w:fldCharType="begin"/>
          </w:r>
          <w:r>
            <w:rPr>
              <w:color w:val="auto"/>
            </w:rPr>
            <w:instrText xml:space="preserve"> PAGEREF _Toc27689 \h </w:instrText>
          </w:r>
          <w:r>
            <w:rPr>
              <w:color w:val="auto"/>
            </w:rPr>
            <w:fldChar w:fldCharType="separate"/>
          </w:r>
          <w:r>
            <w:rPr>
              <w:color w:val="auto"/>
            </w:rPr>
            <w:t>1</w:t>
          </w:r>
          <w:r>
            <w:rPr>
              <w:color w:val="auto"/>
            </w:rPr>
            <w:fldChar w:fldCharType="end"/>
          </w:r>
          <w:r>
            <w:rPr>
              <w:rFonts w:cs="Times New Roman"/>
              <w:bCs/>
              <w:color w:val="auto"/>
              <w:szCs w:val="21"/>
              <w:lang w:val="zh-CN"/>
            </w:rPr>
            <w:fldChar w:fldCharType="end"/>
          </w:r>
        </w:p>
        <w:p>
          <w:pPr>
            <w:pStyle w:val="14"/>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_Toc19769 </w:instrText>
          </w:r>
          <w:r>
            <w:rPr>
              <w:rFonts w:cs="Times New Roman"/>
              <w:bCs/>
              <w:color w:val="auto"/>
              <w:szCs w:val="21"/>
              <w:lang w:val="zh-CN"/>
            </w:rPr>
            <w:fldChar w:fldCharType="separate"/>
          </w:r>
          <w:r>
            <w:rPr>
              <w:rFonts w:hint="eastAsia"/>
              <w:color w:val="auto"/>
              <w:szCs w:val="32"/>
            </w:rPr>
            <w:t>3 项目建设情况</w:t>
          </w:r>
          <w:r>
            <w:rPr>
              <w:color w:val="auto"/>
            </w:rPr>
            <w:tab/>
          </w:r>
          <w:r>
            <w:rPr>
              <w:color w:val="auto"/>
            </w:rPr>
            <w:fldChar w:fldCharType="begin"/>
          </w:r>
          <w:r>
            <w:rPr>
              <w:color w:val="auto"/>
            </w:rPr>
            <w:instrText xml:space="preserve"> PAGEREF _Toc19769 \h </w:instrText>
          </w:r>
          <w:r>
            <w:rPr>
              <w:color w:val="auto"/>
            </w:rPr>
            <w:fldChar w:fldCharType="separate"/>
          </w:r>
          <w:r>
            <w:rPr>
              <w:color w:val="auto"/>
            </w:rPr>
            <w:t>2</w:t>
          </w:r>
          <w:r>
            <w:rPr>
              <w:color w:val="auto"/>
            </w:rPr>
            <w:fldChar w:fldCharType="end"/>
          </w:r>
          <w:r>
            <w:rPr>
              <w:rFonts w:cs="Times New Roman"/>
              <w:bCs/>
              <w:color w:val="auto"/>
              <w:szCs w:val="21"/>
              <w:lang w:val="zh-CN"/>
            </w:rPr>
            <w:fldChar w:fldCharType="end"/>
          </w:r>
        </w:p>
        <w:p>
          <w:pPr>
            <w:pStyle w:val="17"/>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_Toc16247 </w:instrText>
          </w:r>
          <w:r>
            <w:rPr>
              <w:rFonts w:cs="Times New Roman"/>
              <w:bCs/>
              <w:color w:val="auto"/>
              <w:szCs w:val="21"/>
              <w:lang w:val="zh-CN"/>
            </w:rPr>
            <w:fldChar w:fldCharType="separate"/>
          </w:r>
          <w:r>
            <w:rPr>
              <w:rFonts w:hint="eastAsia"/>
              <w:color w:val="auto"/>
              <w:szCs w:val="30"/>
            </w:rPr>
            <w:t>3.1地理位置、平面布置及环境保护目标</w:t>
          </w:r>
          <w:r>
            <w:rPr>
              <w:color w:val="auto"/>
            </w:rPr>
            <w:tab/>
          </w:r>
          <w:r>
            <w:rPr>
              <w:color w:val="auto"/>
            </w:rPr>
            <w:fldChar w:fldCharType="begin"/>
          </w:r>
          <w:r>
            <w:rPr>
              <w:color w:val="auto"/>
            </w:rPr>
            <w:instrText xml:space="preserve"> PAGEREF _Toc16247 \h </w:instrText>
          </w:r>
          <w:r>
            <w:rPr>
              <w:color w:val="auto"/>
            </w:rPr>
            <w:fldChar w:fldCharType="separate"/>
          </w:r>
          <w:r>
            <w:rPr>
              <w:color w:val="auto"/>
            </w:rPr>
            <w:t>2</w:t>
          </w:r>
          <w:r>
            <w:rPr>
              <w:color w:val="auto"/>
            </w:rPr>
            <w:fldChar w:fldCharType="end"/>
          </w:r>
          <w:r>
            <w:rPr>
              <w:rFonts w:cs="Times New Roman"/>
              <w:bCs/>
              <w:color w:val="auto"/>
              <w:szCs w:val="21"/>
              <w:lang w:val="zh-CN"/>
            </w:rPr>
            <w:fldChar w:fldCharType="end"/>
          </w:r>
        </w:p>
        <w:p>
          <w:pPr>
            <w:pStyle w:val="17"/>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_Toc24031 </w:instrText>
          </w:r>
          <w:r>
            <w:rPr>
              <w:rFonts w:cs="Times New Roman"/>
              <w:bCs/>
              <w:color w:val="auto"/>
              <w:szCs w:val="21"/>
              <w:lang w:val="zh-CN"/>
            </w:rPr>
            <w:fldChar w:fldCharType="separate"/>
          </w:r>
          <w:r>
            <w:rPr>
              <w:rFonts w:hint="eastAsia"/>
              <w:color w:val="auto"/>
            </w:rPr>
            <w:t>3.2建设内容</w:t>
          </w:r>
          <w:r>
            <w:rPr>
              <w:color w:val="auto"/>
            </w:rPr>
            <w:tab/>
          </w:r>
          <w:r>
            <w:rPr>
              <w:color w:val="auto"/>
            </w:rPr>
            <w:fldChar w:fldCharType="begin"/>
          </w:r>
          <w:r>
            <w:rPr>
              <w:color w:val="auto"/>
            </w:rPr>
            <w:instrText xml:space="preserve"> PAGEREF _Toc24031 \h </w:instrText>
          </w:r>
          <w:r>
            <w:rPr>
              <w:color w:val="auto"/>
            </w:rPr>
            <w:fldChar w:fldCharType="separate"/>
          </w:r>
          <w:r>
            <w:rPr>
              <w:color w:val="auto"/>
            </w:rPr>
            <w:t>7</w:t>
          </w:r>
          <w:r>
            <w:rPr>
              <w:color w:val="auto"/>
            </w:rPr>
            <w:fldChar w:fldCharType="end"/>
          </w:r>
          <w:r>
            <w:rPr>
              <w:rFonts w:cs="Times New Roman"/>
              <w:bCs/>
              <w:color w:val="auto"/>
              <w:szCs w:val="21"/>
              <w:lang w:val="zh-CN"/>
            </w:rPr>
            <w:fldChar w:fldCharType="end"/>
          </w:r>
        </w:p>
        <w:p>
          <w:pPr>
            <w:pStyle w:val="17"/>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_Toc17131 </w:instrText>
          </w:r>
          <w:r>
            <w:rPr>
              <w:rFonts w:cs="Times New Roman"/>
              <w:bCs/>
              <w:color w:val="auto"/>
              <w:szCs w:val="21"/>
              <w:lang w:val="zh-CN"/>
            </w:rPr>
            <w:fldChar w:fldCharType="separate"/>
          </w:r>
          <w:r>
            <w:rPr>
              <w:rFonts w:hint="eastAsia"/>
              <w:color w:val="auto"/>
            </w:rPr>
            <w:t>3.3原辅料及能源消耗情况</w:t>
          </w:r>
          <w:r>
            <w:rPr>
              <w:color w:val="auto"/>
            </w:rPr>
            <w:tab/>
          </w:r>
          <w:r>
            <w:rPr>
              <w:color w:val="auto"/>
            </w:rPr>
            <w:fldChar w:fldCharType="begin"/>
          </w:r>
          <w:r>
            <w:rPr>
              <w:color w:val="auto"/>
            </w:rPr>
            <w:instrText xml:space="preserve"> PAGEREF _Toc17131 \h </w:instrText>
          </w:r>
          <w:r>
            <w:rPr>
              <w:color w:val="auto"/>
            </w:rPr>
            <w:fldChar w:fldCharType="separate"/>
          </w:r>
          <w:r>
            <w:rPr>
              <w:color w:val="auto"/>
            </w:rPr>
            <w:t>11</w:t>
          </w:r>
          <w:r>
            <w:rPr>
              <w:color w:val="auto"/>
            </w:rPr>
            <w:fldChar w:fldCharType="end"/>
          </w:r>
          <w:r>
            <w:rPr>
              <w:rFonts w:cs="Times New Roman"/>
              <w:bCs/>
              <w:color w:val="auto"/>
              <w:szCs w:val="21"/>
              <w:lang w:val="zh-CN"/>
            </w:rPr>
            <w:fldChar w:fldCharType="end"/>
          </w:r>
        </w:p>
        <w:p>
          <w:pPr>
            <w:pStyle w:val="17"/>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_Toc13293 </w:instrText>
          </w:r>
          <w:r>
            <w:rPr>
              <w:rFonts w:cs="Times New Roman"/>
              <w:bCs/>
              <w:color w:val="auto"/>
              <w:szCs w:val="21"/>
              <w:lang w:val="zh-CN"/>
            </w:rPr>
            <w:fldChar w:fldCharType="separate"/>
          </w:r>
          <w:r>
            <w:rPr>
              <w:rFonts w:hint="eastAsia"/>
              <w:color w:val="auto"/>
            </w:rPr>
            <w:t>3.4 产品方案</w:t>
          </w:r>
          <w:r>
            <w:rPr>
              <w:color w:val="auto"/>
            </w:rPr>
            <w:tab/>
          </w:r>
          <w:r>
            <w:rPr>
              <w:color w:val="auto"/>
            </w:rPr>
            <w:fldChar w:fldCharType="begin"/>
          </w:r>
          <w:r>
            <w:rPr>
              <w:color w:val="auto"/>
            </w:rPr>
            <w:instrText xml:space="preserve"> PAGEREF _Toc13293 \h </w:instrText>
          </w:r>
          <w:r>
            <w:rPr>
              <w:color w:val="auto"/>
            </w:rPr>
            <w:fldChar w:fldCharType="separate"/>
          </w:r>
          <w:r>
            <w:rPr>
              <w:color w:val="auto"/>
            </w:rPr>
            <w:t>13</w:t>
          </w:r>
          <w:r>
            <w:rPr>
              <w:color w:val="auto"/>
            </w:rPr>
            <w:fldChar w:fldCharType="end"/>
          </w:r>
          <w:r>
            <w:rPr>
              <w:rFonts w:cs="Times New Roman"/>
              <w:bCs/>
              <w:color w:val="auto"/>
              <w:szCs w:val="21"/>
              <w:lang w:val="zh-CN"/>
            </w:rPr>
            <w:fldChar w:fldCharType="end"/>
          </w:r>
        </w:p>
        <w:p>
          <w:pPr>
            <w:pStyle w:val="17"/>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_Toc7590 </w:instrText>
          </w:r>
          <w:r>
            <w:rPr>
              <w:rFonts w:cs="Times New Roman"/>
              <w:bCs/>
              <w:color w:val="auto"/>
              <w:szCs w:val="21"/>
              <w:lang w:val="zh-CN"/>
            </w:rPr>
            <w:fldChar w:fldCharType="separate"/>
          </w:r>
          <w:r>
            <w:rPr>
              <w:rFonts w:hint="eastAsia"/>
              <w:color w:val="auto"/>
            </w:rPr>
            <w:t>3.5 水源及水平衡</w:t>
          </w:r>
          <w:r>
            <w:rPr>
              <w:color w:val="auto"/>
            </w:rPr>
            <w:tab/>
          </w:r>
          <w:r>
            <w:rPr>
              <w:color w:val="auto"/>
            </w:rPr>
            <w:fldChar w:fldCharType="begin"/>
          </w:r>
          <w:r>
            <w:rPr>
              <w:color w:val="auto"/>
            </w:rPr>
            <w:instrText xml:space="preserve"> PAGEREF _Toc7590 \h </w:instrText>
          </w:r>
          <w:r>
            <w:rPr>
              <w:color w:val="auto"/>
            </w:rPr>
            <w:fldChar w:fldCharType="separate"/>
          </w:r>
          <w:r>
            <w:rPr>
              <w:color w:val="auto"/>
            </w:rPr>
            <w:t>13</w:t>
          </w:r>
          <w:r>
            <w:rPr>
              <w:color w:val="auto"/>
            </w:rPr>
            <w:fldChar w:fldCharType="end"/>
          </w:r>
          <w:r>
            <w:rPr>
              <w:rFonts w:cs="Times New Roman"/>
              <w:bCs/>
              <w:color w:val="auto"/>
              <w:szCs w:val="21"/>
              <w:lang w:val="zh-CN"/>
            </w:rPr>
            <w:fldChar w:fldCharType="end"/>
          </w:r>
        </w:p>
        <w:p>
          <w:pPr>
            <w:pStyle w:val="17"/>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_Toc4781 </w:instrText>
          </w:r>
          <w:r>
            <w:rPr>
              <w:rFonts w:cs="Times New Roman"/>
              <w:bCs/>
              <w:color w:val="auto"/>
              <w:szCs w:val="21"/>
              <w:lang w:val="zh-CN"/>
            </w:rPr>
            <w:fldChar w:fldCharType="separate"/>
          </w:r>
          <w:r>
            <w:rPr>
              <w:rFonts w:hint="eastAsia"/>
              <w:color w:val="auto"/>
            </w:rPr>
            <w:t>3.6 生产工艺</w:t>
          </w:r>
          <w:r>
            <w:rPr>
              <w:color w:val="auto"/>
            </w:rPr>
            <w:tab/>
          </w:r>
          <w:r>
            <w:rPr>
              <w:color w:val="auto"/>
            </w:rPr>
            <w:fldChar w:fldCharType="begin"/>
          </w:r>
          <w:r>
            <w:rPr>
              <w:color w:val="auto"/>
            </w:rPr>
            <w:instrText xml:space="preserve"> PAGEREF _Toc4781 \h </w:instrText>
          </w:r>
          <w:r>
            <w:rPr>
              <w:color w:val="auto"/>
            </w:rPr>
            <w:fldChar w:fldCharType="separate"/>
          </w:r>
          <w:r>
            <w:rPr>
              <w:color w:val="auto"/>
            </w:rPr>
            <w:t>16</w:t>
          </w:r>
          <w:r>
            <w:rPr>
              <w:color w:val="auto"/>
            </w:rPr>
            <w:fldChar w:fldCharType="end"/>
          </w:r>
          <w:r>
            <w:rPr>
              <w:rFonts w:cs="Times New Roman"/>
              <w:bCs/>
              <w:color w:val="auto"/>
              <w:szCs w:val="21"/>
              <w:lang w:val="zh-CN"/>
            </w:rPr>
            <w:fldChar w:fldCharType="end"/>
          </w:r>
        </w:p>
        <w:p>
          <w:pPr>
            <w:pStyle w:val="17"/>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_Toc9140 </w:instrText>
          </w:r>
          <w:r>
            <w:rPr>
              <w:rFonts w:cs="Times New Roman"/>
              <w:bCs/>
              <w:color w:val="auto"/>
              <w:szCs w:val="21"/>
              <w:lang w:val="zh-CN"/>
            </w:rPr>
            <w:fldChar w:fldCharType="separate"/>
          </w:r>
          <w:r>
            <w:rPr>
              <w:rFonts w:hint="eastAsia"/>
              <w:color w:val="auto"/>
            </w:rPr>
            <w:t>3.7项目变动情况</w:t>
          </w:r>
          <w:r>
            <w:rPr>
              <w:color w:val="auto"/>
            </w:rPr>
            <w:tab/>
          </w:r>
          <w:r>
            <w:rPr>
              <w:color w:val="auto"/>
            </w:rPr>
            <w:fldChar w:fldCharType="begin"/>
          </w:r>
          <w:r>
            <w:rPr>
              <w:color w:val="auto"/>
            </w:rPr>
            <w:instrText xml:space="preserve"> PAGEREF _Toc9140 \h </w:instrText>
          </w:r>
          <w:r>
            <w:rPr>
              <w:color w:val="auto"/>
            </w:rPr>
            <w:fldChar w:fldCharType="separate"/>
          </w:r>
          <w:r>
            <w:rPr>
              <w:color w:val="auto"/>
            </w:rPr>
            <w:t>23</w:t>
          </w:r>
          <w:r>
            <w:rPr>
              <w:color w:val="auto"/>
            </w:rPr>
            <w:fldChar w:fldCharType="end"/>
          </w:r>
          <w:r>
            <w:rPr>
              <w:rFonts w:cs="Times New Roman"/>
              <w:bCs/>
              <w:color w:val="auto"/>
              <w:szCs w:val="21"/>
              <w:lang w:val="zh-CN"/>
            </w:rPr>
            <w:fldChar w:fldCharType="end"/>
          </w:r>
        </w:p>
        <w:p>
          <w:pPr>
            <w:pStyle w:val="14"/>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_Toc19520 </w:instrText>
          </w:r>
          <w:r>
            <w:rPr>
              <w:rFonts w:cs="Times New Roman"/>
              <w:bCs/>
              <w:color w:val="auto"/>
              <w:szCs w:val="21"/>
              <w:lang w:val="zh-CN"/>
            </w:rPr>
            <w:fldChar w:fldCharType="separate"/>
          </w:r>
          <w:r>
            <w:rPr>
              <w:rFonts w:hint="eastAsia"/>
              <w:color w:val="auto"/>
            </w:rPr>
            <w:t>4 环境保护设施</w:t>
          </w:r>
          <w:r>
            <w:rPr>
              <w:color w:val="auto"/>
            </w:rPr>
            <w:tab/>
          </w:r>
          <w:r>
            <w:rPr>
              <w:color w:val="auto"/>
            </w:rPr>
            <w:fldChar w:fldCharType="begin"/>
          </w:r>
          <w:r>
            <w:rPr>
              <w:color w:val="auto"/>
            </w:rPr>
            <w:instrText xml:space="preserve"> PAGEREF _Toc19520 \h </w:instrText>
          </w:r>
          <w:r>
            <w:rPr>
              <w:color w:val="auto"/>
            </w:rPr>
            <w:fldChar w:fldCharType="separate"/>
          </w:r>
          <w:r>
            <w:rPr>
              <w:color w:val="auto"/>
            </w:rPr>
            <w:t>28</w:t>
          </w:r>
          <w:r>
            <w:rPr>
              <w:color w:val="auto"/>
            </w:rPr>
            <w:fldChar w:fldCharType="end"/>
          </w:r>
          <w:r>
            <w:rPr>
              <w:rFonts w:cs="Times New Roman"/>
              <w:bCs/>
              <w:color w:val="auto"/>
              <w:szCs w:val="21"/>
              <w:lang w:val="zh-CN"/>
            </w:rPr>
            <w:fldChar w:fldCharType="end"/>
          </w:r>
        </w:p>
        <w:p>
          <w:pPr>
            <w:pStyle w:val="17"/>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_Toc31719 </w:instrText>
          </w:r>
          <w:r>
            <w:rPr>
              <w:rFonts w:cs="Times New Roman"/>
              <w:bCs/>
              <w:color w:val="auto"/>
              <w:szCs w:val="21"/>
              <w:lang w:val="zh-CN"/>
            </w:rPr>
            <w:fldChar w:fldCharType="separate"/>
          </w:r>
          <w:r>
            <w:rPr>
              <w:rFonts w:hint="eastAsia"/>
              <w:color w:val="auto"/>
            </w:rPr>
            <w:t>4.1 污染物治理</w:t>
          </w:r>
          <w:r>
            <w:rPr>
              <w:color w:val="auto"/>
            </w:rPr>
            <w:t>/</w:t>
          </w:r>
          <w:r>
            <w:rPr>
              <w:rFonts w:hint="eastAsia"/>
              <w:color w:val="auto"/>
            </w:rPr>
            <w:t>处置设施</w:t>
          </w:r>
          <w:r>
            <w:rPr>
              <w:color w:val="auto"/>
            </w:rPr>
            <w:tab/>
          </w:r>
          <w:r>
            <w:rPr>
              <w:color w:val="auto"/>
            </w:rPr>
            <w:fldChar w:fldCharType="begin"/>
          </w:r>
          <w:r>
            <w:rPr>
              <w:color w:val="auto"/>
            </w:rPr>
            <w:instrText xml:space="preserve"> PAGEREF _Toc31719 \h </w:instrText>
          </w:r>
          <w:r>
            <w:rPr>
              <w:color w:val="auto"/>
            </w:rPr>
            <w:fldChar w:fldCharType="separate"/>
          </w:r>
          <w:r>
            <w:rPr>
              <w:color w:val="auto"/>
            </w:rPr>
            <w:t>28</w:t>
          </w:r>
          <w:r>
            <w:rPr>
              <w:color w:val="auto"/>
            </w:rPr>
            <w:fldChar w:fldCharType="end"/>
          </w:r>
          <w:r>
            <w:rPr>
              <w:rFonts w:cs="Times New Roman"/>
              <w:bCs/>
              <w:color w:val="auto"/>
              <w:szCs w:val="21"/>
              <w:lang w:val="zh-CN"/>
            </w:rPr>
            <w:fldChar w:fldCharType="end"/>
          </w:r>
        </w:p>
        <w:p>
          <w:pPr>
            <w:pStyle w:val="9"/>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_Toc31869 </w:instrText>
          </w:r>
          <w:r>
            <w:rPr>
              <w:rFonts w:cs="Times New Roman"/>
              <w:bCs/>
              <w:color w:val="auto"/>
              <w:szCs w:val="21"/>
              <w:lang w:val="zh-CN"/>
            </w:rPr>
            <w:fldChar w:fldCharType="separate"/>
          </w:r>
          <w:r>
            <w:rPr>
              <w:rFonts w:hint="eastAsia"/>
              <w:color w:val="auto"/>
            </w:rPr>
            <w:t xml:space="preserve">4.1.1 </w:t>
          </w:r>
          <w:r>
            <w:rPr>
              <w:color w:val="auto"/>
            </w:rPr>
            <w:t>废水</w:t>
          </w:r>
          <w:r>
            <w:rPr>
              <w:color w:val="auto"/>
            </w:rPr>
            <w:tab/>
          </w:r>
          <w:r>
            <w:rPr>
              <w:color w:val="auto"/>
            </w:rPr>
            <w:fldChar w:fldCharType="begin"/>
          </w:r>
          <w:r>
            <w:rPr>
              <w:color w:val="auto"/>
            </w:rPr>
            <w:instrText xml:space="preserve"> PAGEREF _Toc31869 \h </w:instrText>
          </w:r>
          <w:r>
            <w:rPr>
              <w:color w:val="auto"/>
            </w:rPr>
            <w:fldChar w:fldCharType="separate"/>
          </w:r>
          <w:r>
            <w:rPr>
              <w:color w:val="auto"/>
            </w:rPr>
            <w:t>28</w:t>
          </w:r>
          <w:r>
            <w:rPr>
              <w:color w:val="auto"/>
            </w:rPr>
            <w:fldChar w:fldCharType="end"/>
          </w:r>
          <w:r>
            <w:rPr>
              <w:rFonts w:cs="Times New Roman"/>
              <w:bCs/>
              <w:color w:val="auto"/>
              <w:szCs w:val="21"/>
              <w:lang w:val="zh-CN"/>
            </w:rPr>
            <w:fldChar w:fldCharType="end"/>
          </w:r>
        </w:p>
        <w:p>
          <w:pPr>
            <w:pStyle w:val="9"/>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_Toc27080 </w:instrText>
          </w:r>
          <w:r>
            <w:rPr>
              <w:rFonts w:cs="Times New Roman"/>
              <w:bCs/>
              <w:color w:val="auto"/>
              <w:szCs w:val="21"/>
              <w:lang w:val="zh-CN"/>
            </w:rPr>
            <w:fldChar w:fldCharType="separate"/>
          </w:r>
          <w:r>
            <w:rPr>
              <w:rFonts w:hint="eastAsia"/>
              <w:color w:val="auto"/>
            </w:rPr>
            <w:t>4.1.2 废气</w:t>
          </w:r>
          <w:r>
            <w:rPr>
              <w:color w:val="auto"/>
            </w:rPr>
            <w:tab/>
          </w:r>
          <w:r>
            <w:rPr>
              <w:color w:val="auto"/>
            </w:rPr>
            <w:fldChar w:fldCharType="begin"/>
          </w:r>
          <w:r>
            <w:rPr>
              <w:color w:val="auto"/>
            </w:rPr>
            <w:instrText xml:space="preserve"> PAGEREF _Toc27080 \h </w:instrText>
          </w:r>
          <w:r>
            <w:rPr>
              <w:color w:val="auto"/>
            </w:rPr>
            <w:fldChar w:fldCharType="separate"/>
          </w:r>
          <w:r>
            <w:rPr>
              <w:color w:val="auto"/>
            </w:rPr>
            <w:t>28</w:t>
          </w:r>
          <w:r>
            <w:rPr>
              <w:color w:val="auto"/>
            </w:rPr>
            <w:fldChar w:fldCharType="end"/>
          </w:r>
          <w:r>
            <w:rPr>
              <w:rFonts w:cs="Times New Roman"/>
              <w:bCs/>
              <w:color w:val="auto"/>
              <w:szCs w:val="21"/>
              <w:lang w:val="zh-CN"/>
            </w:rPr>
            <w:fldChar w:fldCharType="end"/>
          </w:r>
        </w:p>
        <w:p>
          <w:pPr>
            <w:pStyle w:val="9"/>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_Toc15280 </w:instrText>
          </w:r>
          <w:r>
            <w:rPr>
              <w:rFonts w:cs="Times New Roman"/>
              <w:bCs/>
              <w:color w:val="auto"/>
              <w:szCs w:val="21"/>
              <w:lang w:val="zh-CN"/>
            </w:rPr>
            <w:fldChar w:fldCharType="separate"/>
          </w:r>
          <w:r>
            <w:rPr>
              <w:rFonts w:hint="eastAsia"/>
              <w:color w:val="auto"/>
            </w:rPr>
            <w:t>4.1.3 噪声</w:t>
          </w:r>
          <w:r>
            <w:rPr>
              <w:color w:val="auto"/>
            </w:rPr>
            <w:tab/>
          </w:r>
          <w:r>
            <w:rPr>
              <w:color w:val="auto"/>
            </w:rPr>
            <w:fldChar w:fldCharType="begin"/>
          </w:r>
          <w:r>
            <w:rPr>
              <w:color w:val="auto"/>
            </w:rPr>
            <w:instrText xml:space="preserve"> PAGEREF _Toc15280 \h </w:instrText>
          </w:r>
          <w:r>
            <w:rPr>
              <w:color w:val="auto"/>
            </w:rPr>
            <w:fldChar w:fldCharType="separate"/>
          </w:r>
          <w:r>
            <w:rPr>
              <w:color w:val="auto"/>
            </w:rPr>
            <w:t>33</w:t>
          </w:r>
          <w:r>
            <w:rPr>
              <w:color w:val="auto"/>
            </w:rPr>
            <w:fldChar w:fldCharType="end"/>
          </w:r>
          <w:r>
            <w:rPr>
              <w:rFonts w:cs="Times New Roman"/>
              <w:bCs/>
              <w:color w:val="auto"/>
              <w:szCs w:val="21"/>
              <w:lang w:val="zh-CN"/>
            </w:rPr>
            <w:fldChar w:fldCharType="end"/>
          </w:r>
        </w:p>
        <w:p>
          <w:pPr>
            <w:pStyle w:val="9"/>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_Toc972 </w:instrText>
          </w:r>
          <w:r>
            <w:rPr>
              <w:rFonts w:cs="Times New Roman"/>
              <w:bCs/>
              <w:color w:val="auto"/>
              <w:szCs w:val="21"/>
              <w:lang w:val="zh-CN"/>
            </w:rPr>
            <w:fldChar w:fldCharType="separate"/>
          </w:r>
          <w:r>
            <w:rPr>
              <w:rFonts w:hint="eastAsia"/>
              <w:color w:val="auto"/>
            </w:rPr>
            <w:t>4.1.4 固体废物</w:t>
          </w:r>
          <w:r>
            <w:rPr>
              <w:color w:val="auto"/>
            </w:rPr>
            <w:tab/>
          </w:r>
          <w:r>
            <w:rPr>
              <w:color w:val="auto"/>
            </w:rPr>
            <w:fldChar w:fldCharType="begin"/>
          </w:r>
          <w:r>
            <w:rPr>
              <w:color w:val="auto"/>
            </w:rPr>
            <w:instrText xml:space="preserve"> PAGEREF _Toc972 \h </w:instrText>
          </w:r>
          <w:r>
            <w:rPr>
              <w:color w:val="auto"/>
            </w:rPr>
            <w:fldChar w:fldCharType="separate"/>
          </w:r>
          <w:r>
            <w:rPr>
              <w:color w:val="auto"/>
            </w:rPr>
            <w:t>33</w:t>
          </w:r>
          <w:r>
            <w:rPr>
              <w:color w:val="auto"/>
            </w:rPr>
            <w:fldChar w:fldCharType="end"/>
          </w:r>
          <w:r>
            <w:rPr>
              <w:rFonts w:cs="Times New Roman"/>
              <w:bCs/>
              <w:color w:val="auto"/>
              <w:szCs w:val="21"/>
              <w:lang w:val="zh-CN"/>
            </w:rPr>
            <w:fldChar w:fldCharType="end"/>
          </w:r>
        </w:p>
        <w:p>
          <w:pPr>
            <w:pStyle w:val="17"/>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_Toc4202 </w:instrText>
          </w:r>
          <w:r>
            <w:rPr>
              <w:rFonts w:cs="Times New Roman"/>
              <w:bCs/>
              <w:color w:val="auto"/>
              <w:szCs w:val="21"/>
              <w:lang w:val="zh-CN"/>
            </w:rPr>
            <w:fldChar w:fldCharType="separate"/>
          </w:r>
          <w:r>
            <w:rPr>
              <w:rFonts w:hint="eastAsia"/>
              <w:color w:val="auto"/>
            </w:rPr>
            <w:t>4.2 其他环境保护设施</w:t>
          </w:r>
          <w:r>
            <w:rPr>
              <w:color w:val="auto"/>
            </w:rPr>
            <w:tab/>
          </w:r>
          <w:r>
            <w:rPr>
              <w:color w:val="auto"/>
            </w:rPr>
            <w:fldChar w:fldCharType="begin"/>
          </w:r>
          <w:r>
            <w:rPr>
              <w:color w:val="auto"/>
            </w:rPr>
            <w:instrText xml:space="preserve"> PAGEREF _Toc4202 \h </w:instrText>
          </w:r>
          <w:r>
            <w:rPr>
              <w:color w:val="auto"/>
            </w:rPr>
            <w:fldChar w:fldCharType="separate"/>
          </w:r>
          <w:r>
            <w:rPr>
              <w:color w:val="auto"/>
            </w:rPr>
            <w:t>34</w:t>
          </w:r>
          <w:r>
            <w:rPr>
              <w:color w:val="auto"/>
            </w:rPr>
            <w:fldChar w:fldCharType="end"/>
          </w:r>
          <w:r>
            <w:rPr>
              <w:rFonts w:cs="Times New Roman"/>
              <w:bCs/>
              <w:color w:val="auto"/>
              <w:szCs w:val="21"/>
              <w:lang w:val="zh-CN"/>
            </w:rPr>
            <w:fldChar w:fldCharType="end"/>
          </w:r>
        </w:p>
        <w:p>
          <w:pPr>
            <w:pStyle w:val="9"/>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_Toc8300 </w:instrText>
          </w:r>
          <w:r>
            <w:rPr>
              <w:rFonts w:cs="Times New Roman"/>
              <w:bCs/>
              <w:color w:val="auto"/>
              <w:szCs w:val="21"/>
              <w:lang w:val="zh-CN"/>
            </w:rPr>
            <w:fldChar w:fldCharType="separate"/>
          </w:r>
          <w:r>
            <w:rPr>
              <w:rFonts w:hint="eastAsia"/>
              <w:color w:val="auto"/>
            </w:rPr>
            <w:t>4.2.1 环境管理</w:t>
          </w:r>
          <w:r>
            <w:rPr>
              <w:color w:val="auto"/>
            </w:rPr>
            <w:tab/>
          </w:r>
          <w:r>
            <w:rPr>
              <w:color w:val="auto"/>
            </w:rPr>
            <w:fldChar w:fldCharType="begin"/>
          </w:r>
          <w:r>
            <w:rPr>
              <w:color w:val="auto"/>
            </w:rPr>
            <w:instrText xml:space="preserve"> PAGEREF _Toc8300 \h </w:instrText>
          </w:r>
          <w:r>
            <w:rPr>
              <w:color w:val="auto"/>
            </w:rPr>
            <w:fldChar w:fldCharType="separate"/>
          </w:r>
          <w:r>
            <w:rPr>
              <w:color w:val="auto"/>
            </w:rPr>
            <w:t>34</w:t>
          </w:r>
          <w:r>
            <w:rPr>
              <w:color w:val="auto"/>
            </w:rPr>
            <w:fldChar w:fldCharType="end"/>
          </w:r>
          <w:r>
            <w:rPr>
              <w:rFonts w:cs="Times New Roman"/>
              <w:bCs/>
              <w:color w:val="auto"/>
              <w:szCs w:val="21"/>
              <w:lang w:val="zh-CN"/>
            </w:rPr>
            <w:fldChar w:fldCharType="end"/>
          </w:r>
        </w:p>
        <w:p>
          <w:pPr>
            <w:pStyle w:val="14"/>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_Toc24771 </w:instrText>
          </w:r>
          <w:r>
            <w:rPr>
              <w:rFonts w:cs="Times New Roman"/>
              <w:bCs/>
              <w:color w:val="auto"/>
              <w:szCs w:val="21"/>
              <w:lang w:val="zh-CN"/>
            </w:rPr>
            <w:fldChar w:fldCharType="separate"/>
          </w:r>
          <w:r>
            <w:rPr>
              <w:rFonts w:hint="eastAsia"/>
              <w:color w:val="auto"/>
            </w:rPr>
            <w:t>5 环境影响报告表主要结论与建议及其审批部门审批决定</w:t>
          </w:r>
          <w:r>
            <w:rPr>
              <w:color w:val="auto"/>
            </w:rPr>
            <w:tab/>
          </w:r>
          <w:r>
            <w:rPr>
              <w:color w:val="auto"/>
            </w:rPr>
            <w:fldChar w:fldCharType="begin"/>
          </w:r>
          <w:r>
            <w:rPr>
              <w:color w:val="auto"/>
            </w:rPr>
            <w:instrText xml:space="preserve"> PAGEREF _Toc24771 \h </w:instrText>
          </w:r>
          <w:r>
            <w:rPr>
              <w:color w:val="auto"/>
            </w:rPr>
            <w:fldChar w:fldCharType="separate"/>
          </w:r>
          <w:r>
            <w:rPr>
              <w:color w:val="auto"/>
            </w:rPr>
            <w:t>35</w:t>
          </w:r>
          <w:r>
            <w:rPr>
              <w:color w:val="auto"/>
            </w:rPr>
            <w:fldChar w:fldCharType="end"/>
          </w:r>
          <w:r>
            <w:rPr>
              <w:rFonts w:cs="Times New Roman"/>
              <w:bCs/>
              <w:color w:val="auto"/>
              <w:szCs w:val="21"/>
              <w:lang w:val="zh-CN"/>
            </w:rPr>
            <w:fldChar w:fldCharType="end"/>
          </w:r>
        </w:p>
        <w:p>
          <w:pPr>
            <w:pStyle w:val="17"/>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_Toc22744 </w:instrText>
          </w:r>
          <w:r>
            <w:rPr>
              <w:rFonts w:cs="Times New Roman"/>
              <w:bCs/>
              <w:color w:val="auto"/>
              <w:szCs w:val="21"/>
              <w:lang w:val="zh-CN"/>
            </w:rPr>
            <w:fldChar w:fldCharType="separate"/>
          </w:r>
          <w:r>
            <w:rPr>
              <w:rFonts w:hint="eastAsia"/>
              <w:color w:val="auto"/>
            </w:rPr>
            <w:t>5.1 环境影响报告书（表）主要结论与建议</w:t>
          </w:r>
          <w:r>
            <w:rPr>
              <w:color w:val="auto"/>
            </w:rPr>
            <w:tab/>
          </w:r>
          <w:r>
            <w:rPr>
              <w:color w:val="auto"/>
            </w:rPr>
            <w:fldChar w:fldCharType="begin"/>
          </w:r>
          <w:r>
            <w:rPr>
              <w:color w:val="auto"/>
            </w:rPr>
            <w:instrText xml:space="preserve"> PAGEREF _Toc22744 \h </w:instrText>
          </w:r>
          <w:r>
            <w:rPr>
              <w:color w:val="auto"/>
            </w:rPr>
            <w:fldChar w:fldCharType="separate"/>
          </w:r>
          <w:r>
            <w:rPr>
              <w:color w:val="auto"/>
            </w:rPr>
            <w:t>35</w:t>
          </w:r>
          <w:r>
            <w:rPr>
              <w:color w:val="auto"/>
            </w:rPr>
            <w:fldChar w:fldCharType="end"/>
          </w:r>
          <w:r>
            <w:rPr>
              <w:rFonts w:cs="Times New Roman"/>
              <w:bCs/>
              <w:color w:val="auto"/>
              <w:szCs w:val="21"/>
              <w:lang w:val="zh-CN"/>
            </w:rPr>
            <w:fldChar w:fldCharType="end"/>
          </w:r>
        </w:p>
        <w:p>
          <w:pPr>
            <w:pStyle w:val="9"/>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_Toc26300 </w:instrText>
          </w:r>
          <w:r>
            <w:rPr>
              <w:rFonts w:cs="Times New Roman"/>
              <w:bCs/>
              <w:color w:val="auto"/>
              <w:szCs w:val="21"/>
              <w:lang w:val="zh-CN"/>
            </w:rPr>
            <w:fldChar w:fldCharType="separate"/>
          </w:r>
          <w:r>
            <w:rPr>
              <w:rFonts w:hint="eastAsia"/>
              <w:color w:val="auto"/>
            </w:rPr>
            <w:t>5.1.1 选址合理性分析</w:t>
          </w:r>
          <w:r>
            <w:rPr>
              <w:color w:val="auto"/>
            </w:rPr>
            <w:tab/>
          </w:r>
          <w:r>
            <w:rPr>
              <w:color w:val="auto"/>
            </w:rPr>
            <w:fldChar w:fldCharType="begin"/>
          </w:r>
          <w:r>
            <w:rPr>
              <w:color w:val="auto"/>
            </w:rPr>
            <w:instrText xml:space="preserve"> PAGEREF _Toc26300 \h </w:instrText>
          </w:r>
          <w:r>
            <w:rPr>
              <w:color w:val="auto"/>
            </w:rPr>
            <w:fldChar w:fldCharType="separate"/>
          </w:r>
          <w:r>
            <w:rPr>
              <w:color w:val="auto"/>
            </w:rPr>
            <w:t>35</w:t>
          </w:r>
          <w:r>
            <w:rPr>
              <w:color w:val="auto"/>
            </w:rPr>
            <w:fldChar w:fldCharType="end"/>
          </w:r>
          <w:r>
            <w:rPr>
              <w:rFonts w:cs="Times New Roman"/>
              <w:bCs/>
              <w:color w:val="auto"/>
              <w:szCs w:val="21"/>
              <w:lang w:val="zh-CN"/>
            </w:rPr>
            <w:fldChar w:fldCharType="end"/>
          </w:r>
        </w:p>
        <w:p>
          <w:pPr>
            <w:pStyle w:val="9"/>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_Toc13910 </w:instrText>
          </w:r>
          <w:r>
            <w:rPr>
              <w:rFonts w:cs="Times New Roman"/>
              <w:bCs/>
              <w:color w:val="auto"/>
              <w:szCs w:val="21"/>
              <w:lang w:val="zh-CN"/>
            </w:rPr>
            <w:fldChar w:fldCharType="separate"/>
          </w:r>
          <w:r>
            <w:rPr>
              <w:rFonts w:hint="eastAsia"/>
              <w:color w:val="auto"/>
            </w:rPr>
            <w:t>5.1.2 环境质量现状结论</w:t>
          </w:r>
          <w:r>
            <w:rPr>
              <w:color w:val="auto"/>
            </w:rPr>
            <w:tab/>
          </w:r>
          <w:r>
            <w:rPr>
              <w:color w:val="auto"/>
            </w:rPr>
            <w:fldChar w:fldCharType="begin"/>
          </w:r>
          <w:r>
            <w:rPr>
              <w:color w:val="auto"/>
            </w:rPr>
            <w:instrText xml:space="preserve"> PAGEREF _Toc13910 \h </w:instrText>
          </w:r>
          <w:r>
            <w:rPr>
              <w:color w:val="auto"/>
            </w:rPr>
            <w:fldChar w:fldCharType="separate"/>
          </w:r>
          <w:r>
            <w:rPr>
              <w:color w:val="auto"/>
            </w:rPr>
            <w:t>35</w:t>
          </w:r>
          <w:r>
            <w:rPr>
              <w:color w:val="auto"/>
            </w:rPr>
            <w:fldChar w:fldCharType="end"/>
          </w:r>
          <w:r>
            <w:rPr>
              <w:rFonts w:cs="Times New Roman"/>
              <w:bCs/>
              <w:color w:val="auto"/>
              <w:szCs w:val="21"/>
              <w:lang w:val="zh-CN"/>
            </w:rPr>
            <w:fldChar w:fldCharType="end"/>
          </w:r>
        </w:p>
        <w:p>
          <w:pPr>
            <w:pStyle w:val="9"/>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_Toc2214 </w:instrText>
          </w:r>
          <w:r>
            <w:rPr>
              <w:rFonts w:cs="Times New Roman"/>
              <w:bCs/>
              <w:color w:val="auto"/>
              <w:szCs w:val="21"/>
              <w:lang w:val="zh-CN"/>
            </w:rPr>
            <w:fldChar w:fldCharType="separate"/>
          </w:r>
          <w:r>
            <w:rPr>
              <w:rFonts w:hint="eastAsia"/>
              <w:color w:val="auto"/>
            </w:rPr>
            <w:t>5.1.3 综合评价结论</w:t>
          </w:r>
          <w:r>
            <w:rPr>
              <w:color w:val="auto"/>
            </w:rPr>
            <w:tab/>
          </w:r>
          <w:r>
            <w:rPr>
              <w:color w:val="auto"/>
            </w:rPr>
            <w:fldChar w:fldCharType="begin"/>
          </w:r>
          <w:r>
            <w:rPr>
              <w:color w:val="auto"/>
            </w:rPr>
            <w:instrText xml:space="preserve"> PAGEREF _Toc2214 \h </w:instrText>
          </w:r>
          <w:r>
            <w:rPr>
              <w:color w:val="auto"/>
            </w:rPr>
            <w:fldChar w:fldCharType="separate"/>
          </w:r>
          <w:r>
            <w:rPr>
              <w:color w:val="auto"/>
            </w:rPr>
            <w:t>37</w:t>
          </w:r>
          <w:r>
            <w:rPr>
              <w:color w:val="auto"/>
            </w:rPr>
            <w:fldChar w:fldCharType="end"/>
          </w:r>
          <w:r>
            <w:rPr>
              <w:rFonts w:cs="Times New Roman"/>
              <w:bCs/>
              <w:color w:val="auto"/>
              <w:szCs w:val="21"/>
              <w:lang w:val="zh-CN"/>
            </w:rPr>
            <w:fldChar w:fldCharType="end"/>
          </w:r>
        </w:p>
        <w:p>
          <w:pPr>
            <w:pStyle w:val="17"/>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_Toc1937 </w:instrText>
          </w:r>
          <w:r>
            <w:rPr>
              <w:rFonts w:cs="Times New Roman"/>
              <w:bCs/>
              <w:color w:val="auto"/>
              <w:szCs w:val="21"/>
              <w:lang w:val="zh-CN"/>
            </w:rPr>
            <w:fldChar w:fldCharType="separate"/>
          </w:r>
          <w:r>
            <w:rPr>
              <w:rFonts w:hint="eastAsia"/>
              <w:color w:val="auto"/>
            </w:rPr>
            <w:t>5.2 审批部门审批决定及环评批复落实情况</w:t>
          </w:r>
          <w:r>
            <w:rPr>
              <w:color w:val="auto"/>
            </w:rPr>
            <w:tab/>
          </w:r>
          <w:r>
            <w:rPr>
              <w:color w:val="auto"/>
            </w:rPr>
            <w:fldChar w:fldCharType="begin"/>
          </w:r>
          <w:r>
            <w:rPr>
              <w:color w:val="auto"/>
            </w:rPr>
            <w:instrText xml:space="preserve"> PAGEREF _Toc1937 \h </w:instrText>
          </w:r>
          <w:r>
            <w:rPr>
              <w:color w:val="auto"/>
            </w:rPr>
            <w:fldChar w:fldCharType="separate"/>
          </w:r>
          <w:r>
            <w:rPr>
              <w:color w:val="auto"/>
            </w:rPr>
            <w:t>37</w:t>
          </w:r>
          <w:r>
            <w:rPr>
              <w:color w:val="auto"/>
            </w:rPr>
            <w:fldChar w:fldCharType="end"/>
          </w:r>
          <w:r>
            <w:rPr>
              <w:rFonts w:cs="Times New Roman"/>
              <w:bCs/>
              <w:color w:val="auto"/>
              <w:szCs w:val="21"/>
              <w:lang w:val="zh-CN"/>
            </w:rPr>
            <w:fldChar w:fldCharType="end"/>
          </w:r>
        </w:p>
        <w:p>
          <w:pPr>
            <w:pStyle w:val="14"/>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_Toc15791 </w:instrText>
          </w:r>
          <w:r>
            <w:rPr>
              <w:rFonts w:cs="Times New Roman"/>
              <w:bCs/>
              <w:color w:val="auto"/>
              <w:szCs w:val="21"/>
              <w:lang w:val="zh-CN"/>
            </w:rPr>
            <w:fldChar w:fldCharType="separate"/>
          </w:r>
          <w:r>
            <w:rPr>
              <w:rFonts w:hint="eastAsia"/>
              <w:color w:val="auto"/>
            </w:rPr>
            <w:t>6 验收执行标准</w:t>
          </w:r>
          <w:r>
            <w:rPr>
              <w:color w:val="auto"/>
            </w:rPr>
            <w:tab/>
          </w:r>
          <w:r>
            <w:rPr>
              <w:color w:val="auto"/>
            </w:rPr>
            <w:fldChar w:fldCharType="begin"/>
          </w:r>
          <w:r>
            <w:rPr>
              <w:color w:val="auto"/>
            </w:rPr>
            <w:instrText xml:space="preserve"> PAGEREF _Toc15791 \h </w:instrText>
          </w:r>
          <w:r>
            <w:rPr>
              <w:color w:val="auto"/>
            </w:rPr>
            <w:fldChar w:fldCharType="separate"/>
          </w:r>
          <w:r>
            <w:rPr>
              <w:color w:val="auto"/>
            </w:rPr>
            <w:t>42</w:t>
          </w:r>
          <w:r>
            <w:rPr>
              <w:color w:val="auto"/>
            </w:rPr>
            <w:fldChar w:fldCharType="end"/>
          </w:r>
          <w:r>
            <w:rPr>
              <w:rFonts w:cs="Times New Roman"/>
              <w:bCs/>
              <w:color w:val="auto"/>
              <w:szCs w:val="21"/>
              <w:lang w:val="zh-CN"/>
            </w:rPr>
            <w:fldChar w:fldCharType="end"/>
          </w:r>
        </w:p>
        <w:p>
          <w:pPr>
            <w:pStyle w:val="17"/>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_Toc1378 </w:instrText>
          </w:r>
          <w:r>
            <w:rPr>
              <w:rFonts w:cs="Times New Roman"/>
              <w:bCs/>
              <w:color w:val="auto"/>
              <w:szCs w:val="21"/>
              <w:lang w:val="zh-CN"/>
            </w:rPr>
            <w:fldChar w:fldCharType="separate"/>
          </w:r>
          <w:r>
            <w:rPr>
              <w:rFonts w:hint="eastAsia"/>
              <w:color w:val="auto"/>
            </w:rPr>
            <w:t>6.1 废水</w:t>
          </w:r>
          <w:r>
            <w:rPr>
              <w:color w:val="auto"/>
            </w:rPr>
            <w:tab/>
          </w:r>
          <w:r>
            <w:rPr>
              <w:color w:val="auto"/>
            </w:rPr>
            <w:fldChar w:fldCharType="begin"/>
          </w:r>
          <w:r>
            <w:rPr>
              <w:color w:val="auto"/>
            </w:rPr>
            <w:instrText xml:space="preserve"> PAGEREF _Toc1378 \h </w:instrText>
          </w:r>
          <w:r>
            <w:rPr>
              <w:color w:val="auto"/>
            </w:rPr>
            <w:fldChar w:fldCharType="separate"/>
          </w:r>
          <w:r>
            <w:rPr>
              <w:color w:val="auto"/>
            </w:rPr>
            <w:t>42</w:t>
          </w:r>
          <w:r>
            <w:rPr>
              <w:color w:val="auto"/>
            </w:rPr>
            <w:fldChar w:fldCharType="end"/>
          </w:r>
          <w:r>
            <w:rPr>
              <w:rFonts w:cs="Times New Roman"/>
              <w:bCs/>
              <w:color w:val="auto"/>
              <w:szCs w:val="21"/>
              <w:lang w:val="zh-CN"/>
            </w:rPr>
            <w:fldChar w:fldCharType="end"/>
          </w:r>
        </w:p>
        <w:p>
          <w:pPr>
            <w:pStyle w:val="17"/>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_Toc10259 </w:instrText>
          </w:r>
          <w:r>
            <w:rPr>
              <w:rFonts w:cs="Times New Roman"/>
              <w:bCs/>
              <w:color w:val="auto"/>
              <w:szCs w:val="21"/>
              <w:lang w:val="zh-CN"/>
            </w:rPr>
            <w:fldChar w:fldCharType="separate"/>
          </w:r>
          <w:r>
            <w:rPr>
              <w:rFonts w:hint="eastAsia"/>
              <w:color w:val="auto"/>
            </w:rPr>
            <w:t>6.2 废气</w:t>
          </w:r>
          <w:r>
            <w:rPr>
              <w:color w:val="auto"/>
            </w:rPr>
            <w:tab/>
          </w:r>
          <w:r>
            <w:rPr>
              <w:color w:val="auto"/>
            </w:rPr>
            <w:fldChar w:fldCharType="begin"/>
          </w:r>
          <w:r>
            <w:rPr>
              <w:color w:val="auto"/>
            </w:rPr>
            <w:instrText xml:space="preserve"> PAGEREF _Toc10259 \h </w:instrText>
          </w:r>
          <w:r>
            <w:rPr>
              <w:color w:val="auto"/>
            </w:rPr>
            <w:fldChar w:fldCharType="separate"/>
          </w:r>
          <w:r>
            <w:rPr>
              <w:color w:val="auto"/>
            </w:rPr>
            <w:t>42</w:t>
          </w:r>
          <w:r>
            <w:rPr>
              <w:color w:val="auto"/>
            </w:rPr>
            <w:fldChar w:fldCharType="end"/>
          </w:r>
          <w:r>
            <w:rPr>
              <w:rFonts w:cs="Times New Roman"/>
              <w:bCs/>
              <w:color w:val="auto"/>
              <w:szCs w:val="21"/>
              <w:lang w:val="zh-CN"/>
            </w:rPr>
            <w:fldChar w:fldCharType="end"/>
          </w:r>
        </w:p>
        <w:p>
          <w:pPr>
            <w:pStyle w:val="17"/>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_Toc27350 </w:instrText>
          </w:r>
          <w:r>
            <w:rPr>
              <w:rFonts w:cs="Times New Roman"/>
              <w:bCs/>
              <w:color w:val="auto"/>
              <w:szCs w:val="21"/>
              <w:lang w:val="zh-CN"/>
            </w:rPr>
            <w:fldChar w:fldCharType="separate"/>
          </w:r>
          <w:r>
            <w:rPr>
              <w:rFonts w:hint="eastAsia"/>
              <w:color w:val="auto"/>
            </w:rPr>
            <w:t>6.3 噪声</w:t>
          </w:r>
          <w:r>
            <w:rPr>
              <w:color w:val="auto"/>
            </w:rPr>
            <w:tab/>
          </w:r>
          <w:r>
            <w:rPr>
              <w:color w:val="auto"/>
            </w:rPr>
            <w:fldChar w:fldCharType="begin"/>
          </w:r>
          <w:r>
            <w:rPr>
              <w:color w:val="auto"/>
            </w:rPr>
            <w:instrText xml:space="preserve"> PAGEREF _Toc27350 \h </w:instrText>
          </w:r>
          <w:r>
            <w:rPr>
              <w:color w:val="auto"/>
            </w:rPr>
            <w:fldChar w:fldCharType="separate"/>
          </w:r>
          <w:r>
            <w:rPr>
              <w:color w:val="auto"/>
            </w:rPr>
            <w:t>45</w:t>
          </w:r>
          <w:r>
            <w:rPr>
              <w:color w:val="auto"/>
            </w:rPr>
            <w:fldChar w:fldCharType="end"/>
          </w:r>
          <w:r>
            <w:rPr>
              <w:rFonts w:cs="Times New Roman"/>
              <w:bCs/>
              <w:color w:val="auto"/>
              <w:szCs w:val="21"/>
              <w:lang w:val="zh-CN"/>
            </w:rPr>
            <w:fldChar w:fldCharType="end"/>
          </w:r>
        </w:p>
        <w:p>
          <w:pPr>
            <w:pStyle w:val="17"/>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_Toc6519 </w:instrText>
          </w:r>
          <w:r>
            <w:rPr>
              <w:rFonts w:cs="Times New Roman"/>
              <w:bCs/>
              <w:color w:val="auto"/>
              <w:szCs w:val="21"/>
              <w:lang w:val="zh-CN"/>
            </w:rPr>
            <w:fldChar w:fldCharType="separate"/>
          </w:r>
          <w:r>
            <w:rPr>
              <w:rFonts w:hint="eastAsia"/>
              <w:color w:val="auto"/>
            </w:rPr>
            <w:t>6.4 固体废物</w:t>
          </w:r>
          <w:r>
            <w:rPr>
              <w:color w:val="auto"/>
            </w:rPr>
            <w:tab/>
          </w:r>
          <w:r>
            <w:rPr>
              <w:color w:val="auto"/>
            </w:rPr>
            <w:fldChar w:fldCharType="begin"/>
          </w:r>
          <w:r>
            <w:rPr>
              <w:color w:val="auto"/>
            </w:rPr>
            <w:instrText xml:space="preserve"> PAGEREF _Toc6519 \h </w:instrText>
          </w:r>
          <w:r>
            <w:rPr>
              <w:color w:val="auto"/>
            </w:rPr>
            <w:fldChar w:fldCharType="separate"/>
          </w:r>
          <w:r>
            <w:rPr>
              <w:color w:val="auto"/>
            </w:rPr>
            <w:t>45</w:t>
          </w:r>
          <w:r>
            <w:rPr>
              <w:color w:val="auto"/>
            </w:rPr>
            <w:fldChar w:fldCharType="end"/>
          </w:r>
          <w:r>
            <w:rPr>
              <w:rFonts w:cs="Times New Roman"/>
              <w:bCs/>
              <w:color w:val="auto"/>
              <w:szCs w:val="21"/>
              <w:lang w:val="zh-CN"/>
            </w:rPr>
            <w:fldChar w:fldCharType="end"/>
          </w:r>
        </w:p>
        <w:p>
          <w:pPr>
            <w:pStyle w:val="14"/>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_Toc646 </w:instrText>
          </w:r>
          <w:r>
            <w:rPr>
              <w:rFonts w:cs="Times New Roman"/>
              <w:bCs/>
              <w:color w:val="auto"/>
              <w:szCs w:val="21"/>
              <w:lang w:val="zh-CN"/>
            </w:rPr>
            <w:fldChar w:fldCharType="separate"/>
          </w:r>
          <w:r>
            <w:rPr>
              <w:rFonts w:hint="eastAsia"/>
              <w:color w:val="auto"/>
            </w:rPr>
            <w:t>7 验收监测内容</w:t>
          </w:r>
          <w:r>
            <w:rPr>
              <w:color w:val="auto"/>
            </w:rPr>
            <w:tab/>
          </w:r>
          <w:r>
            <w:rPr>
              <w:color w:val="auto"/>
            </w:rPr>
            <w:fldChar w:fldCharType="begin"/>
          </w:r>
          <w:r>
            <w:rPr>
              <w:color w:val="auto"/>
            </w:rPr>
            <w:instrText xml:space="preserve"> PAGEREF _Toc646 \h </w:instrText>
          </w:r>
          <w:r>
            <w:rPr>
              <w:color w:val="auto"/>
            </w:rPr>
            <w:fldChar w:fldCharType="separate"/>
          </w:r>
          <w:r>
            <w:rPr>
              <w:color w:val="auto"/>
            </w:rPr>
            <w:t>46</w:t>
          </w:r>
          <w:r>
            <w:rPr>
              <w:color w:val="auto"/>
            </w:rPr>
            <w:fldChar w:fldCharType="end"/>
          </w:r>
          <w:r>
            <w:rPr>
              <w:rFonts w:cs="Times New Roman"/>
              <w:bCs/>
              <w:color w:val="auto"/>
              <w:szCs w:val="21"/>
              <w:lang w:val="zh-CN"/>
            </w:rPr>
            <w:fldChar w:fldCharType="end"/>
          </w:r>
        </w:p>
        <w:p>
          <w:pPr>
            <w:pStyle w:val="17"/>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_Toc7031 </w:instrText>
          </w:r>
          <w:r>
            <w:rPr>
              <w:rFonts w:cs="Times New Roman"/>
              <w:bCs/>
              <w:color w:val="auto"/>
              <w:szCs w:val="21"/>
              <w:lang w:val="zh-CN"/>
            </w:rPr>
            <w:fldChar w:fldCharType="separate"/>
          </w:r>
          <w:r>
            <w:rPr>
              <w:rFonts w:hint="eastAsia"/>
              <w:color w:val="auto"/>
            </w:rPr>
            <w:t>7.1 废水</w:t>
          </w:r>
          <w:r>
            <w:rPr>
              <w:color w:val="auto"/>
            </w:rPr>
            <w:tab/>
          </w:r>
          <w:r>
            <w:rPr>
              <w:color w:val="auto"/>
            </w:rPr>
            <w:fldChar w:fldCharType="begin"/>
          </w:r>
          <w:r>
            <w:rPr>
              <w:color w:val="auto"/>
            </w:rPr>
            <w:instrText xml:space="preserve"> PAGEREF _Toc7031 \h </w:instrText>
          </w:r>
          <w:r>
            <w:rPr>
              <w:color w:val="auto"/>
            </w:rPr>
            <w:fldChar w:fldCharType="separate"/>
          </w:r>
          <w:r>
            <w:rPr>
              <w:color w:val="auto"/>
            </w:rPr>
            <w:t>46</w:t>
          </w:r>
          <w:r>
            <w:rPr>
              <w:color w:val="auto"/>
            </w:rPr>
            <w:fldChar w:fldCharType="end"/>
          </w:r>
          <w:r>
            <w:rPr>
              <w:rFonts w:cs="Times New Roman"/>
              <w:bCs/>
              <w:color w:val="auto"/>
              <w:szCs w:val="21"/>
              <w:lang w:val="zh-CN"/>
            </w:rPr>
            <w:fldChar w:fldCharType="end"/>
          </w:r>
        </w:p>
        <w:p>
          <w:pPr>
            <w:pStyle w:val="17"/>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_Toc31603 </w:instrText>
          </w:r>
          <w:r>
            <w:rPr>
              <w:rFonts w:cs="Times New Roman"/>
              <w:bCs/>
              <w:color w:val="auto"/>
              <w:szCs w:val="21"/>
              <w:lang w:val="zh-CN"/>
            </w:rPr>
            <w:fldChar w:fldCharType="separate"/>
          </w:r>
          <w:r>
            <w:rPr>
              <w:rFonts w:hint="eastAsia"/>
              <w:color w:val="auto"/>
            </w:rPr>
            <w:t>7.2 废气</w:t>
          </w:r>
          <w:r>
            <w:rPr>
              <w:color w:val="auto"/>
            </w:rPr>
            <w:tab/>
          </w:r>
          <w:r>
            <w:rPr>
              <w:color w:val="auto"/>
            </w:rPr>
            <w:fldChar w:fldCharType="begin"/>
          </w:r>
          <w:r>
            <w:rPr>
              <w:color w:val="auto"/>
            </w:rPr>
            <w:instrText xml:space="preserve"> PAGEREF _Toc31603 \h </w:instrText>
          </w:r>
          <w:r>
            <w:rPr>
              <w:color w:val="auto"/>
            </w:rPr>
            <w:fldChar w:fldCharType="separate"/>
          </w:r>
          <w:r>
            <w:rPr>
              <w:color w:val="auto"/>
            </w:rPr>
            <w:t>46</w:t>
          </w:r>
          <w:r>
            <w:rPr>
              <w:color w:val="auto"/>
            </w:rPr>
            <w:fldChar w:fldCharType="end"/>
          </w:r>
          <w:r>
            <w:rPr>
              <w:rFonts w:cs="Times New Roman"/>
              <w:bCs/>
              <w:color w:val="auto"/>
              <w:szCs w:val="21"/>
              <w:lang w:val="zh-CN"/>
            </w:rPr>
            <w:fldChar w:fldCharType="end"/>
          </w:r>
        </w:p>
        <w:p>
          <w:pPr>
            <w:pStyle w:val="17"/>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_Toc9600 </w:instrText>
          </w:r>
          <w:r>
            <w:rPr>
              <w:rFonts w:cs="Times New Roman"/>
              <w:bCs/>
              <w:color w:val="auto"/>
              <w:szCs w:val="21"/>
              <w:lang w:val="zh-CN"/>
            </w:rPr>
            <w:fldChar w:fldCharType="separate"/>
          </w:r>
          <w:r>
            <w:rPr>
              <w:rFonts w:hint="eastAsia"/>
              <w:color w:val="auto"/>
            </w:rPr>
            <w:t>7.3 厂界噪声监测</w:t>
          </w:r>
          <w:r>
            <w:rPr>
              <w:color w:val="auto"/>
            </w:rPr>
            <w:tab/>
          </w:r>
          <w:r>
            <w:rPr>
              <w:color w:val="auto"/>
            </w:rPr>
            <w:fldChar w:fldCharType="begin"/>
          </w:r>
          <w:r>
            <w:rPr>
              <w:color w:val="auto"/>
            </w:rPr>
            <w:instrText xml:space="preserve"> PAGEREF _Toc9600 \h </w:instrText>
          </w:r>
          <w:r>
            <w:rPr>
              <w:color w:val="auto"/>
            </w:rPr>
            <w:fldChar w:fldCharType="separate"/>
          </w:r>
          <w:r>
            <w:rPr>
              <w:color w:val="auto"/>
            </w:rPr>
            <w:t>46</w:t>
          </w:r>
          <w:r>
            <w:rPr>
              <w:color w:val="auto"/>
            </w:rPr>
            <w:fldChar w:fldCharType="end"/>
          </w:r>
          <w:r>
            <w:rPr>
              <w:rFonts w:cs="Times New Roman"/>
              <w:bCs/>
              <w:color w:val="auto"/>
              <w:szCs w:val="21"/>
              <w:lang w:val="zh-CN"/>
            </w:rPr>
            <w:fldChar w:fldCharType="end"/>
          </w:r>
        </w:p>
        <w:p>
          <w:pPr>
            <w:pStyle w:val="14"/>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_Toc10760 </w:instrText>
          </w:r>
          <w:r>
            <w:rPr>
              <w:rFonts w:cs="Times New Roman"/>
              <w:bCs/>
              <w:color w:val="auto"/>
              <w:szCs w:val="21"/>
              <w:lang w:val="zh-CN"/>
            </w:rPr>
            <w:fldChar w:fldCharType="separate"/>
          </w:r>
          <w:r>
            <w:rPr>
              <w:rFonts w:hint="eastAsia"/>
              <w:color w:val="auto"/>
            </w:rPr>
            <w:t>8 质量保证和质量控制</w:t>
          </w:r>
          <w:r>
            <w:rPr>
              <w:color w:val="auto"/>
            </w:rPr>
            <w:tab/>
          </w:r>
          <w:r>
            <w:rPr>
              <w:color w:val="auto"/>
            </w:rPr>
            <w:fldChar w:fldCharType="begin"/>
          </w:r>
          <w:r>
            <w:rPr>
              <w:color w:val="auto"/>
            </w:rPr>
            <w:instrText xml:space="preserve"> PAGEREF _Toc10760 \h </w:instrText>
          </w:r>
          <w:r>
            <w:rPr>
              <w:color w:val="auto"/>
            </w:rPr>
            <w:fldChar w:fldCharType="separate"/>
          </w:r>
          <w:r>
            <w:rPr>
              <w:color w:val="auto"/>
            </w:rPr>
            <w:t>47</w:t>
          </w:r>
          <w:r>
            <w:rPr>
              <w:color w:val="auto"/>
            </w:rPr>
            <w:fldChar w:fldCharType="end"/>
          </w:r>
          <w:r>
            <w:rPr>
              <w:rFonts w:cs="Times New Roman"/>
              <w:bCs/>
              <w:color w:val="auto"/>
              <w:szCs w:val="21"/>
              <w:lang w:val="zh-CN"/>
            </w:rPr>
            <w:fldChar w:fldCharType="end"/>
          </w:r>
        </w:p>
        <w:p>
          <w:pPr>
            <w:pStyle w:val="17"/>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_Toc12885 </w:instrText>
          </w:r>
          <w:r>
            <w:rPr>
              <w:rFonts w:cs="Times New Roman"/>
              <w:bCs/>
              <w:color w:val="auto"/>
              <w:szCs w:val="21"/>
              <w:lang w:val="zh-CN"/>
            </w:rPr>
            <w:fldChar w:fldCharType="separate"/>
          </w:r>
          <w:r>
            <w:rPr>
              <w:rFonts w:hint="eastAsia"/>
              <w:color w:val="auto"/>
            </w:rPr>
            <w:t>8.1 监测分析方法</w:t>
          </w:r>
          <w:r>
            <w:rPr>
              <w:color w:val="auto"/>
            </w:rPr>
            <w:tab/>
          </w:r>
          <w:r>
            <w:rPr>
              <w:color w:val="auto"/>
            </w:rPr>
            <w:fldChar w:fldCharType="begin"/>
          </w:r>
          <w:r>
            <w:rPr>
              <w:color w:val="auto"/>
            </w:rPr>
            <w:instrText xml:space="preserve"> PAGEREF _Toc12885 \h </w:instrText>
          </w:r>
          <w:r>
            <w:rPr>
              <w:color w:val="auto"/>
            </w:rPr>
            <w:fldChar w:fldCharType="separate"/>
          </w:r>
          <w:r>
            <w:rPr>
              <w:color w:val="auto"/>
            </w:rPr>
            <w:t>47</w:t>
          </w:r>
          <w:r>
            <w:rPr>
              <w:color w:val="auto"/>
            </w:rPr>
            <w:fldChar w:fldCharType="end"/>
          </w:r>
          <w:r>
            <w:rPr>
              <w:rFonts w:cs="Times New Roman"/>
              <w:bCs/>
              <w:color w:val="auto"/>
              <w:szCs w:val="21"/>
              <w:lang w:val="zh-CN"/>
            </w:rPr>
            <w:fldChar w:fldCharType="end"/>
          </w:r>
        </w:p>
        <w:p>
          <w:pPr>
            <w:pStyle w:val="17"/>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_Toc7351 </w:instrText>
          </w:r>
          <w:r>
            <w:rPr>
              <w:rFonts w:cs="Times New Roman"/>
              <w:bCs/>
              <w:color w:val="auto"/>
              <w:szCs w:val="21"/>
              <w:lang w:val="zh-CN"/>
            </w:rPr>
            <w:fldChar w:fldCharType="separate"/>
          </w:r>
          <w:r>
            <w:rPr>
              <w:rFonts w:hint="eastAsia"/>
              <w:color w:val="auto"/>
            </w:rPr>
            <w:t>8</w:t>
          </w:r>
          <w:r>
            <w:rPr>
              <w:color w:val="auto"/>
            </w:rPr>
            <w:t>.2</w:t>
          </w:r>
          <w:r>
            <w:rPr>
              <w:rFonts w:hint="eastAsia"/>
              <w:color w:val="auto"/>
            </w:rPr>
            <w:t>人员资质</w:t>
          </w:r>
          <w:r>
            <w:rPr>
              <w:color w:val="auto"/>
            </w:rPr>
            <w:tab/>
          </w:r>
          <w:r>
            <w:rPr>
              <w:color w:val="auto"/>
            </w:rPr>
            <w:fldChar w:fldCharType="begin"/>
          </w:r>
          <w:r>
            <w:rPr>
              <w:color w:val="auto"/>
            </w:rPr>
            <w:instrText xml:space="preserve"> PAGEREF _Toc7351 \h </w:instrText>
          </w:r>
          <w:r>
            <w:rPr>
              <w:color w:val="auto"/>
            </w:rPr>
            <w:fldChar w:fldCharType="separate"/>
          </w:r>
          <w:r>
            <w:rPr>
              <w:color w:val="auto"/>
            </w:rPr>
            <w:t>48</w:t>
          </w:r>
          <w:r>
            <w:rPr>
              <w:color w:val="auto"/>
            </w:rPr>
            <w:fldChar w:fldCharType="end"/>
          </w:r>
          <w:r>
            <w:rPr>
              <w:rFonts w:cs="Times New Roman"/>
              <w:bCs/>
              <w:color w:val="auto"/>
              <w:szCs w:val="21"/>
              <w:lang w:val="zh-CN"/>
            </w:rPr>
            <w:fldChar w:fldCharType="end"/>
          </w:r>
        </w:p>
        <w:p>
          <w:pPr>
            <w:pStyle w:val="17"/>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_Toc31490 </w:instrText>
          </w:r>
          <w:r>
            <w:rPr>
              <w:rFonts w:cs="Times New Roman"/>
              <w:bCs/>
              <w:color w:val="auto"/>
              <w:szCs w:val="21"/>
              <w:lang w:val="zh-CN"/>
            </w:rPr>
            <w:fldChar w:fldCharType="separate"/>
          </w:r>
          <w:r>
            <w:rPr>
              <w:rFonts w:hint="eastAsia"/>
              <w:color w:val="auto"/>
            </w:rPr>
            <w:t>8</w:t>
          </w:r>
          <w:r>
            <w:rPr>
              <w:color w:val="auto"/>
            </w:rPr>
            <w:t>.3</w:t>
          </w:r>
          <w:r>
            <w:rPr>
              <w:rFonts w:hint="eastAsia"/>
              <w:color w:val="auto"/>
            </w:rPr>
            <w:t>监测分析过程中的质量保证和质量控制</w:t>
          </w:r>
          <w:r>
            <w:rPr>
              <w:color w:val="auto"/>
            </w:rPr>
            <w:tab/>
          </w:r>
          <w:r>
            <w:rPr>
              <w:color w:val="auto"/>
            </w:rPr>
            <w:fldChar w:fldCharType="begin"/>
          </w:r>
          <w:r>
            <w:rPr>
              <w:color w:val="auto"/>
            </w:rPr>
            <w:instrText xml:space="preserve"> PAGEREF _Toc31490 \h </w:instrText>
          </w:r>
          <w:r>
            <w:rPr>
              <w:color w:val="auto"/>
            </w:rPr>
            <w:fldChar w:fldCharType="separate"/>
          </w:r>
          <w:r>
            <w:rPr>
              <w:color w:val="auto"/>
            </w:rPr>
            <w:t>48</w:t>
          </w:r>
          <w:r>
            <w:rPr>
              <w:color w:val="auto"/>
            </w:rPr>
            <w:fldChar w:fldCharType="end"/>
          </w:r>
          <w:r>
            <w:rPr>
              <w:rFonts w:cs="Times New Roman"/>
              <w:bCs/>
              <w:color w:val="auto"/>
              <w:szCs w:val="21"/>
              <w:lang w:val="zh-CN"/>
            </w:rPr>
            <w:fldChar w:fldCharType="end"/>
          </w:r>
        </w:p>
        <w:p>
          <w:pPr>
            <w:pStyle w:val="14"/>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_Toc27715 </w:instrText>
          </w:r>
          <w:r>
            <w:rPr>
              <w:rFonts w:cs="Times New Roman"/>
              <w:bCs/>
              <w:color w:val="auto"/>
              <w:szCs w:val="21"/>
              <w:lang w:val="zh-CN"/>
            </w:rPr>
            <w:fldChar w:fldCharType="separate"/>
          </w:r>
          <w:r>
            <w:rPr>
              <w:rFonts w:hint="eastAsia"/>
              <w:color w:val="auto"/>
            </w:rPr>
            <w:t>9 验收监测结果</w:t>
          </w:r>
          <w:r>
            <w:rPr>
              <w:color w:val="auto"/>
            </w:rPr>
            <w:tab/>
          </w:r>
          <w:r>
            <w:rPr>
              <w:color w:val="auto"/>
            </w:rPr>
            <w:fldChar w:fldCharType="begin"/>
          </w:r>
          <w:r>
            <w:rPr>
              <w:color w:val="auto"/>
            </w:rPr>
            <w:instrText xml:space="preserve"> PAGEREF _Toc27715 \h </w:instrText>
          </w:r>
          <w:r>
            <w:rPr>
              <w:color w:val="auto"/>
            </w:rPr>
            <w:fldChar w:fldCharType="separate"/>
          </w:r>
          <w:r>
            <w:rPr>
              <w:color w:val="auto"/>
            </w:rPr>
            <w:t>50</w:t>
          </w:r>
          <w:r>
            <w:rPr>
              <w:color w:val="auto"/>
            </w:rPr>
            <w:fldChar w:fldCharType="end"/>
          </w:r>
          <w:r>
            <w:rPr>
              <w:rFonts w:cs="Times New Roman"/>
              <w:bCs/>
              <w:color w:val="auto"/>
              <w:szCs w:val="21"/>
              <w:lang w:val="zh-CN"/>
            </w:rPr>
            <w:fldChar w:fldCharType="end"/>
          </w:r>
        </w:p>
        <w:p>
          <w:pPr>
            <w:pStyle w:val="17"/>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_Toc22409 </w:instrText>
          </w:r>
          <w:r>
            <w:rPr>
              <w:rFonts w:cs="Times New Roman"/>
              <w:bCs/>
              <w:color w:val="auto"/>
              <w:szCs w:val="21"/>
              <w:lang w:val="zh-CN"/>
            </w:rPr>
            <w:fldChar w:fldCharType="separate"/>
          </w:r>
          <w:r>
            <w:rPr>
              <w:rFonts w:hint="eastAsia"/>
              <w:color w:val="auto"/>
            </w:rPr>
            <w:t>9.1 环保设施调试运行效果</w:t>
          </w:r>
          <w:r>
            <w:rPr>
              <w:color w:val="auto"/>
            </w:rPr>
            <w:tab/>
          </w:r>
          <w:r>
            <w:rPr>
              <w:color w:val="auto"/>
            </w:rPr>
            <w:fldChar w:fldCharType="begin"/>
          </w:r>
          <w:r>
            <w:rPr>
              <w:color w:val="auto"/>
            </w:rPr>
            <w:instrText xml:space="preserve"> PAGEREF _Toc22409 \h </w:instrText>
          </w:r>
          <w:r>
            <w:rPr>
              <w:color w:val="auto"/>
            </w:rPr>
            <w:fldChar w:fldCharType="separate"/>
          </w:r>
          <w:r>
            <w:rPr>
              <w:color w:val="auto"/>
            </w:rPr>
            <w:t>50</w:t>
          </w:r>
          <w:r>
            <w:rPr>
              <w:color w:val="auto"/>
            </w:rPr>
            <w:fldChar w:fldCharType="end"/>
          </w:r>
          <w:r>
            <w:rPr>
              <w:rFonts w:cs="Times New Roman"/>
              <w:bCs/>
              <w:color w:val="auto"/>
              <w:szCs w:val="21"/>
              <w:lang w:val="zh-CN"/>
            </w:rPr>
            <w:fldChar w:fldCharType="end"/>
          </w:r>
        </w:p>
        <w:p>
          <w:pPr>
            <w:pStyle w:val="9"/>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_Toc28232 </w:instrText>
          </w:r>
          <w:r>
            <w:rPr>
              <w:rFonts w:cs="Times New Roman"/>
              <w:bCs/>
              <w:color w:val="auto"/>
              <w:szCs w:val="21"/>
              <w:lang w:val="zh-CN"/>
            </w:rPr>
            <w:fldChar w:fldCharType="separate"/>
          </w:r>
          <w:r>
            <w:rPr>
              <w:rFonts w:hint="eastAsia"/>
              <w:color w:val="auto"/>
            </w:rPr>
            <w:t>9.1.1 废水</w:t>
          </w:r>
          <w:r>
            <w:rPr>
              <w:color w:val="auto"/>
            </w:rPr>
            <w:tab/>
          </w:r>
          <w:r>
            <w:rPr>
              <w:color w:val="auto"/>
            </w:rPr>
            <w:fldChar w:fldCharType="begin"/>
          </w:r>
          <w:r>
            <w:rPr>
              <w:color w:val="auto"/>
            </w:rPr>
            <w:instrText xml:space="preserve"> PAGEREF _Toc28232 \h </w:instrText>
          </w:r>
          <w:r>
            <w:rPr>
              <w:color w:val="auto"/>
            </w:rPr>
            <w:fldChar w:fldCharType="separate"/>
          </w:r>
          <w:r>
            <w:rPr>
              <w:color w:val="auto"/>
            </w:rPr>
            <w:t>50</w:t>
          </w:r>
          <w:r>
            <w:rPr>
              <w:color w:val="auto"/>
            </w:rPr>
            <w:fldChar w:fldCharType="end"/>
          </w:r>
          <w:r>
            <w:rPr>
              <w:rFonts w:cs="Times New Roman"/>
              <w:bCs/>
              <w:color w:val="auto"/>
              <w:szCs w:val="21"/>
              <w:lang w:val="zh-CN"/>
            </w:rPr>
            <w:fldChar w:fldCharType="end"/>
          </w:r>
        </w:p>
        <w:p>
          <w:pPr>
            <w:pStyle w:val="9"/>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_Toc8003 </w:instrText>
          </w:r>
          <w:r>
            <w:rPr>
              <w:rFonts w:cs="Times New Roman"/>
              <w:bCs/>
              <w:color w:val="auto"/>
              <w:szCs w:val="21"/>
              <w:lang w:val="zh-CN"/>
            </w:rPr>
            <w:fldChar w:fldCharType="separate"/>
          </w:r>
          <w:r>
            <w:rPr>
              <w:rFonts w:hint="eastAsia"/>
              <w:color w:val="auto"/>
            </w:rPr>
            <w:t>9.1.2 废气</w:t>
          </w:r>
          <w:r>
            <w:rPr>
              <w:color w:val="auto"/>
            </w:rPr>
            <w:tab/>
          </w:r>
          <w:r>
            <w:rPr>
              <w:color w:val="auto"/>
            </w:rPr>
            <w:fldChar w:fldCharType="begin"/>
          </w:r>
          <w:r>
            <w:rPr>
              <w:color w:val="auto"/>
            </w:rPr>
            <w:instrText xml:space="preserve"> PAGEREF _Toc8003 \h </w:instrText>
          </w:r>
          <w:r>
            <w:rPr>
              <w:color w:val="auto"/>
            </w:rPr>
            <w:fldChar w:fldCharType="separate"/>
          </w:r>
          <w:r>
            <w:rPr>
              <w:color w:val="auto"/>
            </w:rPr>
            <w:t>50</w:t>
          </w:r>
          <w:r>
            <w:rPr>
              <w:color w:val="auto"/>
            </w:rPr>
            <w:fldChar w:fldCharType="end"/>
          </w:r>
          <w:r>
            <w:rPr>
              <w:rFonts w:cs="Times New Roman"/>
              <w:bCs/>
              <w:color w:val="auto"/>
              <w:szCs w:val="21"/>
              <w:lang w:val="zh-CN"/>
            </w:rPr>
            <w:fldChar w:fldCharType="end"/>
          </w:r>
        </w:p>
        <w:p>
          <w:pPr>
            <w:pStyle w:val="9"/>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_Toc28638 </w:instrText>
          </w:r>
          <w:r>
            <w:rPr>
              <w:rFonts w:cs="Times New Roman"/>
              <w:bCs/>
              <w:color w:val="auto"/>
              <w:szCs w:val="21"/>
              <w:lang w:val="zh-CN"/>
            </w:rPr>
            <w:fldChar w:fldCharType="separate"/>
          </w:r>
          <w:r>
            <w:rPr>
              <w:rFonts w:hint="eastAsia"/>
              <w:color w:val="auto"/>
            </w:rPr>
            <w:t>9.1.3 噪声</w:t>
          </w:r>
          <w:r>
            <w:rPr>
              <w:color w:val="auto"/>
            </w:rPr>
            <w:tab/>
          </w:r>
          <w:r>
            <w:rPr>
              <w:color w:val="auto"/>
            </w:rPr>
            <w:fldChar w:fldCharType="begin"/>
          </w:r>
          <w:r>
            <w:rPr>
              <w:color w:val="auto"/>
            </w:rPr>
            <w:instrText xml:space="preserve"> PAGEREF _Toc28638 \h </w:instrText>
          </w:r>
          <w:r>
            <w:rPr>
              <w:color w:val="auto"/>
            </w:rPr>
            <w:fldChar w:fldCharType="separate"/>
          </w:r>
          <w:r>
            <w:rPr>
              <w:color w:val="auto"/>
            </w:rPr>
            <w:t>58</w:t>
          </w:r>
          <w:r>
            <w:rPr>
              <w:color w:val="auto"/>
            </w:rPr>
            <w:fldChar w:fldCharType="end"/>
          </w:r>
          <w:r>
            <w:rPr>
              <w:rFonts w:cs="Times New Roman"/>
              <w:bCs/>
              <w:color w:val="auto"/>
              <w:szCs w:val="21"/>
              <w:lang w:val="zh-CN"/>
            </w:rPr>
            <w:fldChar w:fldCharType="end"/>
          </w:r>
        </w:p>
        <w:p>
          <w:pPr>
            <w:pStyle w:val="17"/>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_Toc18906 </w:instrText>
          </w:r>
          <w:r>
            <w:rPr>
              <w:rFonts w:cs="Times New Roman"/>
              <w:bCs/>
              <w:color w:val="auto"/>
              <w:szCs w:val="21"/>
              <w:lang w:val="zh-CN"/>
            </w:rPr>
            <w:fldChar w:fldCharType="separate"/>
          </w:r>
          <w:r>
            <w:rPr>
              <w:rFonts w:hint="eastAsia"/>
              <w:color w:val="auto"/>
            </w:rPr>
            <w:t>9.2 污染物排放总量核算</w:t>
          </w:r>
          <w:r>
            <w:rPr>
              <w:color w:val="auto"/>
            </w:rPr>
            <w:tab/>
          </w:r>
          <w:r>
            <w:rPr>
              <w:color w:val="auto"/>
            </w:rPr>
            <w:fldChar w:fldCharType="begin"/>
          </w:r>
          <w:r>
            <w:rPr>
              <w:color w:val="auto"/>
            </w:rPr>
            <w:instrText xml:space="preserve"> PAGEREF _Toc18906 \h </w:instrText>
          </w:r>
          <w:r>
            <w:rPr>
              <w:color w:val="auto"/>
            </w:rPr>
            <w:fldChar w:fldCharType="separate"/>
          </w:r>
          <w:r>
            <w:rPr>
              <w:color w:val="auto"/>
            </w:rPr>
            <w:t>58</w:t>
          </w:r>
          <w:r>
            <w:rPr>
              <w:color w:val="auto"/>
            </w:rPr>
            <w:fldChar w:fldCharType="end"/>
          </w:r>
          <w:r>
            <w:rPr>
              <w:rFonts w:cs="Times New Roman"/>
              <w:bCs/>
              <w:color w:val="auto"/>
              <w:szCs w:val="21"/>
              <w:lang w:val="zh-CN"/>
            </w:rPr>
            <w:fldChar w:fldCharType="end"/>
          </w:r>
        </w:p>
        <w:p>
          <w:pPr>
            <w:pStyle w:val="14"/>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_Toc13609 </w:instrText>
          </w:r>
          <w:r>
            <w:rPr>
              <w:rFonts w:cs="Times New Roman"/>
              <w:bCs/>
              <w:color w:val="auto"/>
              <w:szCs w:val="21"/>
              <w:lang w:val="zh-CN"/>
            </w:rPr>
            <w:fldChar w:fldCharType="separate"/>
          </w:r>
          <w:r>
            <w:rPr>
              <w:rFonts w:hint="eastAsia"/>
              <w:color w:val="auto"/>
            </w:rPr>
            <w:t>10 验收监测结论</w:t>
          </w:r>
          <w:r>
            <w:rPr>
              <w:color w:val="auto"/>
            </w:rPr>
            <w:tab/>
          </w:r>
          <w:r>
            <w:rPr>
              <w:color w:val="auto"/>
            </w:rPr>
            <w:fldChar w:fldCharType="begin"/>
          </w:r>
          <w:r>
            <w:rPr>
              <w:color w:val="auto"/>
            </w:rPr>
            <w:instrText xml:space="preserve"> PAGEREF _Toc13609 \h </w:instrText>
          </w:r>
          <w:r>
            <w:rPr>
              <w:color w:val="auto"/>
            </w:rPr>
            <w:fldChar w:fldCharType="separate"/>
          </w:r>
          <w:r>
            <w:rPr>
              <w:color w:val="auto"/>
            </w:rPr>
            <w:t>60</w:t>
          </w:r>
          <w:r>
            <w:rPr>
              <w:color w:val="auto"/>
            </w:rPr>
            <w:fldChar w:fldCharType="end"/>
          </w:r>
          <w:r>
            <w:rPr>
              <w:rFonts w:cs="Times New Roman"/>
              <w:bCs/>
              <w:color w:val="auto"/>
              <w:szCs w:val="21"/>
              <w:lang w:val="zh-CN"/>
            </w:rPr>
            <w:fldChar w:fldCharType="end"/>
          </w:r>
        </w:p>
        <w:p>
          <w:pPr>
            <w:pStyle w:val="17"/>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_Toc12647 </w:instrText>
          </w:r>
          <w:r>
            <w:rPr>
              <w:rFonts w:cs="Times New Roman"/>
              <w:bCs/>
              <w:color w:val="auto"/>
              <w:szCs w:val="21"/>
              <w:lang w:val="zh-CN"/>
            </w:rPr>
            <w:fldChar w:fldCharType="separate"/>
          </w:r>
          <w:r>
            <w:rPr>
              <w:rFonts w:hint="eastAsia"/>
              <w:color w:val="auto"/>
            </w:rPr>
            <w:t>10.1 环保设施调试运行效果</w:t>
          </w:r>
          <w:r>
            <w:rPr>
              <w:color w:val="auto"/>
            </w:rPr>
            <w:tab/>
          </w:r>
          <w:r>
            <w:rPr>
              <w:color w:val="auto"/>
            </w:rPr>
            <w:fldChar w:fldCharType="begin"/>
          </w:r>
          <w:r>
            <w:rPr>
              <w:color w:val="auto"/>
            </w:rPr>
            <w:instrText xml:space="preserve"> PAGEREF _Toc12647 \h </w:instrText>
          </w:r>
          <w:r>
            <w:rPr>
              <w:color w:val="auto"/>
            </w:rPr>
            <w:fldChar w:fldCharType="separate"/>
          </w:r>
          <w:r>
            <w:rPr>
              <w:color w:val="auto"/>
            </w:rPr>
            <w:t>60</w:t>
          </w:r>
          <w:r>
            <w:rPr>
              <w:color w:val="auto"/>
            </w:rPr>
            <w:fldChar w:fldCharType="end"/>
          </w:r>
          <w:r>
            <w:rPr>
              <w:rFonts w:cs="Times New Roman"/>
              <w:bCs/>
              <w:color w:val="auto"/>
              <w:szCs w:val="21"/>
              <w:lang w:val="zh-CN"/>
            </w:rPr>
            <w:fldChar w:fldCharType="end"/>
          </w:r>
        </w:p>
        <w:p>
          <w:pPr>
            <w:pStyle w:val="9"/>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_Toc17502 </w:instrText>
          </w:r>
          <w:r>
            <w:rPr>
              <w:rFonts w:cs="Times New Roman"/>
              <w:bCs/>
              <w:color w:val="auto"/>
              <w:szCs w:val="21"/>
              <w:lang w:val="zh-CN"/>
            </w:rPr>
            <w:fldChar w:fldCharType="separate"/>
          </w:r>
          <w:r>
            <w:rPr>
              <w:rFonts w:hint="eastAsia"/>
              <w:color w:val="auto"/>
            </w:rPr>
            <w:t>10.1.1 废水</w:t>
          </w:r>
          <w:r>
            <w:rPr>
              <w:color w:val="auto"/>
            </w:rPr>
            <w:tab/>
          </w:r>
          <w:r>
            <w:rPr>
              <w:color w:val="auto"/>
            </w:rPr>
            <w:fldChar w:fldCharType="begin"/>
          </w:r>
          <w:r>
            <w:rPr>
              <w:color w:val="auto"/>
            </w:rPr>
            <w:instrText xml:space="preserve"> PAGEREF _Toc17502 \h </w:instrText>
          </w:r>
          <w:r>
            <w:rPr>
              <w:color w:val="auto"/>
            </w:rPr>
            <w:fldChar w:fldCharType="separate"/>
          </w:r>
          <w:r>
            <w:rPr>
              <w:color w:val="auto"/>
            </w:rPr>
            <w:t>60</w:t>
          </w:r>
          <w:r>
            <w:rPr>
              <w:color w:val="auto"/>
            </w:rPr>
            <w:fldChar w:fldCharType="end"/>
          </w:r>
          <w:r>
            <w:rPr>
              <w:rFonts w:cs="Times New Roman"/>
              <w:bCs/>
              <w:color w:val="auto"/>
              <w:szCs w:val="21"/>
              <w:lang w:val="zh-CN"/>
            </w:rPr>
            <w:fldChar w:fldCharType="end"/>
          </w:r>
        </w:p>
        <w:p>
          <w:pPr>
            <w:pStyle w:val="9"/>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_Toc28122 </w:instrText>
          </w:r>
          <w:r>
            <w:rPr>
              <w:rFonts w:cs="Times New Roman"/>
              <w:bCs/>
              <w:color w:val="auto"/>
              <w:szCs w:val="21"/>
              <w:lang w:val="zh-CN"/>
            </w:rPr>
            <w:fldChar w:fldCharType="separate"/>
          </w:r>
          <w:r>
            <w:rPr>
              <w:rFonts w:hint="eastAsia"/>
              <w:color w:val="auto"/>
            </w:rPr>
            <w:t>10.1.2 废气</w:t>
          </w:r>
          <w:r>
            <w:rPr>
              <w:color w:val="auto"/>
            </w:rPr>
            <w:tab/>
          </w:r>
          <w:r>
            <w:rPr>
              <w:color w:val="auto"/>
            </w:rPr>
            <w:fldChar w:fldCharType="begin"/>
          </w:r>
          <w:r>
            <w:rPr>
              <w:color w:val="auto"/>
            </w:rPr>
            <w:instrText xml:space="preserve"> PAGEREF _Toc28122 \h </w:instrText>
          </w:r>
          <w:r>
            <w:rPr>
              <w:color w:val="auto"/>
            </w:rPr>
            <w:fldChar w:fldCharType="separate"/>
          </w:r>
          <w:r>
            <w:rPr>
              <w:color w:val="auto"/>
            </w:rPr>
            <w:t>60</w:t>
          </w:r>
          <w:r>
            <w:rPr>
              <w:color w:val="auto"/>
            </w:rPr>
            <w:fldChar w:fldCharType="end"/>
          </w:r>
          <w:r>
            <w:rPr>
              <w:rFonts w:cs="Times New Roman"/>
              <w:bCs/>
              <w:color w:val="auto"/>
              <w:szCs w:val="21"/>
              <w:lang w:val="zh-CN"/>
            </w:rPr>
            <w:fldChar w:fldCharType="end"/>
          </w:r>
        </w:p>
        <w:p>
          <w:pPr>
            <w:pStyle w:val="9"/>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_Toc7665 </w:instrText>
          </w:r>
          <w:r>
            <w:rPr>
              <w:rFonts w:cs="Times New Roman"/>
              <w:bCs/>
              <w:color w:val="auto"/>
              <w:szCs w:val="21"/>
              <w:lang w:val="zh-CN"/>
            </w:rPr>
            <w:fldChar w:fldCharType="separate"/>
          </w:r>
          <w:r>
            <w:rPr>
              <w:rFonts w:hint="eastAsia"/>
              <w:color w:val="auto"/>
            </w:rPr>
            <w:t>10.1.3 噪声</w:t>
          </w:r>
          <w:r>
            <w:rPr>
              <w:color w:val="auto"/>
            </w:rPr>
            <w:tab/>
          </w:r>
          <w:r>
            <w:rPr>
              <w:color w:val="auto"/>
            </w:rPr>
            <w:fldChar w:fldCharType="begin"/>
          </w:r>
          <w:r>
            <w:rPr>
              <w:color w:val="auto"/>
            </w:rPr>
            <w:instrText xml:space="preserve"> PAGEREF _Toc7665 \h </w:instrText>
          </w:r>
          <w:r>
            <w:rPr>
              <w:color w:val="auto"/>
            </w:rPr>
            <w:fldChar w:fldCharType="separate"/>
          </w:r>
          <w:r>
            <w:rPr>
              <w:color w:val="auto"/>
            </w:rPr>
            <w:t>61</w:t>
          </w:r>
          <w:r>
            <w:rPr>
              <w:color w:val="auto"/>
            </w:rPr>
            <w:fldChar w:fldCharType="end"/>
          </w:r>
          <w:r>
            <w:rPr>
              <w:rFonts w:cs="Times New Roman"/>
              <w:bCs/>
              <w:color w:val="auto"/>
              <w:szCs w:val="21"/>
              <w:lang w:val="zh-CN"/>
            </w:rPr>
            <w:fldChar w:fldCharType="end"/>
          </w:r>
        </w:p>
        <w:p>
          <w:pPr>
            <w:pStyle w:val="9"/>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_Toc19702 </w:instrText>
          </w:r>
          <w:r>
            <w:rPr>
              <w:rFonts w:cs="Times New Roman"/>
              <w:bCs/>
              <w:color w:val="auto"/>
              <w:szCs w:val="21"/>
              <w:lang w:val="zh-CN"/>
            </w:rPr>
            <w:fldChar w:fldCharType="separate"/>
          </w:r>
          <w:r>
            <w:rPr>
              <w:rFonts w:hint="eastAsia"/>
              <w:color w:val="auto"/>
            </w:rPr>
            <w:t>10.1.4 固体废物</w:t>
          </w:r>
          <w:r>
            <w:rPr>
              <w:color w:val="auto"/>
            </w:rPr>
            <w:tab/>
          </w:r>
          <w:r>
            <w:rPr>
              <w:color w:val="auto"/>
            </w:rPr>
            <w:fldChar w:fldCharType="begin"/>
          </w:r>
          <w:r>
            <w:rPr>
              <w:color w:val="auto"/>
            </w:rPr>
            <w:instrText xml:space="preserve"> PAGEREF _Toc19702 \h </w:instrText>
          </w:r>
          <w:r>
            <w:rPr>
              <w:color w:val="auto"/>
            </w:rPr>
            <w:fldChar w:fldCharType="separate"/>
          </w:r>
          <w:r>
            <w:rPr>
              <w:color w:val="auto"/>
            </w:rPr>
            <w:t>61</w:t>
          </w:r>
          <w:r>
            <w:rPr>
              <w:color w:val="auto"/>
            </w:rPr>
            <w:fldChar w:fldCharType="end"/>
          </w:r>
          <w:r>
            <w:rPr>
              <w:rFonts w:cs="Times New Roman"/>
              <w:bCs/>
              <w:color w:val="auto"/>
              <w:szCs w:val="21"/>
              <w:lang w:val="zh-CN"/>
            </w:rPr>
            <w:fldChar w:fldCharType="end"/>
          </w:r>
        </w:p>
        <w:p>
          <w:pPr>
            <w:pStyle w:val="17"/>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_Toc29497 </w:instrText>
          </w:r>
          <w:r>
            <w:rPr>
              <w:rFonts w:cs="Times New Roman"/>
              <w:bCs/>
              <w:color w:val="auto"/>
              <w:szCs w:val="21"/>
              <w:lang w:val="zh-CN"/>
            </w:rPr>
            <w:fldChar w:fldCharType="separate"/>
          </w:r>
          <w:r>
            <w:rPr>
              <w:rFonts w:hint="eastAsia"/>
              <w:color w:val="auto"/>
            </w:rPr>
            <w:t>10.2 建议</w:t>
          </w:r>
          <w:r>
            <w:rPr>
              <w:color w:val="auto"/>
            </w:rPr>
            <w:tab/>
          </w:r>
          <w:r>
            <w:rPr>
              <w:color w:val="auto"/>
            </w:rPr>
            <w:fldChar w:fldCharType="begin"/>
          </w:r>
          <w:r>
            <w:rPr>
              <w:color w:val="auto"/>
            </w:rPr>
            <w:instrText xml:space="preserve"> PAGEREF _Toc29497 \h </w:instrText>
          </w:r>
          <w:r>
            <w:rPr>
              <w:color w:val="auto"/>
            </w:rPr>
            <w:fldChar w:fldCharType="separate"/>
          </w:r>
          <w:r>
            <w:rPr>
              <w:color w:val="auto"/>
            </w:rPr>
            <w:t>61</w:t>
          </w:r>
          <w:r>
            <w:rPr>
              <w:color w:val="auto"/>
            </w:rPr>
            <w:fldChar w:fldCharType="end"/>
          </w:r>
          <w:r>
            <w:rPr>
              <w:rFonts w:cs="Times New Roman"/>
              <w:bCs/>
              <w:color w:val="auto"/>
              <w:szCs w:val="21"/>
              <w:lang w:val="zh-CN"/>
            </w:rPr>
            <w:fldChar w:fldCharType="end"/>
          </w:r>
        </w:p>
        <w:p>
          <w:pPr>
            <w:pStyle w:val="14"/>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_Toc21231 </w:instrText>
          </w:r>
          <w:r>
            <w:rPr>
              <w:rFonts w:cs="Times New Roman"/>
              <w:bCs/>
              <w:color w:val="auto"/>
              <w:szCs w:val="21"/>
              <w:lang w:val="zh-CN"/>
            </w:rPr>
            <w:fldChar w:fldCharType="separate"/>
          </w:r>
          <w:r>
            <w:rPr>
              <w:rFonts w:hint="eastAsia"/>
              <w:color w:val="auto"/>
            </w:rPr>
            <w:t>11 建设项目竣工环境保护“三同时”验收登记表</w:t>
          </w:r>
          <w:r>
            <w:rPr>
              <w:color w:val="auto"/>
            </w:rPr>
            <w:tab/>
          </w:r>
          <w:r>
            <w:rPr>
              <w:color w:val="auto"/>
            </w:rPr>
            <w:fldChar w:fldCharType="begin"/>
          </w:r>
          <w:r>
            <w:rPr>
              <w:color w:val="auto"/>
            </w:rPr>
            <w:instrText xml:space="preserve"> PAGEREF _Toc21231 \h </w:instrText>
          </w:r>
          <w:r>
            <w:rPr>
              <w:color w:val="auto"/>
            </w:rPr>
            <w:fldChar w:fldCharType="separate"/>
          </w:r>
          <w:r>
            <w:rPr>
              <w:color w:val="auto"/>
            </w:rPr>
            <w:t>63</w:t>
          </w:r>
          <w:r>
            <w:rPr>
              <w:color w:val="auto"/>
            </w:rPr>
            <w:fldChar w:fldCharType="end"/>
          </w:r>
          <w:r>
            <w:rPr>
              <w:rFonts w:cs="Times New Roman"/>
              <w:bCs/>
              <w:color w:val="auto"/>
              <w:szCs w:val="21"/>
              <w:lang w:val="zh-CN"/>
            </w:rPr>
            <w:fldChar w:fldCharType="end"/>
          </w:r>
        </w:p>
        <w:p>
          <w:pPr>
            <w:pStyle w:val="14"/>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_Toc14079 </w:instrText>
          </w:r>
          <w:r>
            <w:rPr>
              <w:rFonts w:cs="Times New Roman"/>
              <w:bCs/>
              <w:color w:val="auto"/>
              <w:szCs w:val="21"/>
              <w:lang w:val="zh-CN"/>
            </w:rPr>
            <w:fldChar w:fldCharType="separate"/>
          </w:r>
          <w:r>
            <w:rPr>
              <w:rFonts w:hint="eastAsia"/>
              <w:color w:val="auto"/>
            </w:rPr>
            <w:t>12 附件</w:t>
          </w:r>
          <w:r>
            <w:rPr>
              <w:color w:val="auto"/>
            </w:rPr>
            <w:tab/>
          </w:r>
          <w:r>
            <w:rPr>
              <w:color w:val="auto"/>
            </w:rPr>
            <w:fldChar w:fldCharType="begin"/>
          </w:r>
          <w:r>
            <w:rPr>
              <w:color w:val="auto"/>
            </w:rPr>
            <w:instrText xml:space="preserve"> PAGEREF _Toc14079 \h </w:instrText>
          </w:r>
          <w:r>
            <w:rPr>
              <w:color w:val="auto"/>
            </w:rPr>
            <w:fldChar w:fldCharType="separate"/>
          </w:r>
          <w:r>
            <w:rPr>
              <w:color w:val="auto"/>
            </w:rPr>
            <w:t>63</w:t>
          </w:r>
          <w:r>
            <w:rPr>
              <w:color w:val="auto"/>
            </w:rPr>
            <w:fldChar w:fldCharType="end"/>
          </w:r>
          <w:r>
            <w:rPr>
              <w:rFonts w:cs="Times New Roman"/>
              <w:bCs/>
              <w:color w:val="auto"/>
              <w:szCs w:val="21"/>
              <w:lang w:val="zh-CN"/>
            </w:rPr>
            <w:fldChar w:fldCharType="end"/>
          </w:r>
        </w:p>
        <w:p>
          <w:pPr>
            <w:pStyle w:val="14"/>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_Toc20773 </w:instrText>
          </w:r>
          <w:r>
            <w:rPr>
              <w:rFonts w:cs="Times New Roman"/>
              <w:bCs/>
              <w:color w:val="auto"/>
              <w:szCs w:val="21"/>
              <w:lang w:val="zh-CN"/>
            </w:rPr>
            <w:fldChar w:fldCharType="separate"/>
          </w:r>
          <w:r>
            <w:rPr>
              <w:rFonts w:hint="eastAsia"/>
              <w:color w:val="auto"/>
            </w:rPr>
            <w:t>13 附图</w:t>
          </w:r>
          <w:r>
            <w:rPr>
              <w:color w:val="auto"/>
            </w:rPr>
            <w:tab/>
          </w:r>
          <w:r>
            <w:rPr>
              <w:color w:val="auto"/>
            </w:rPr>
            <w:fldChar w:fldCharType="begin"/>
          </w:r>
          <w:r>
            <w:rPr>
              <w:color w:val="auto"/>
            </w:rPr>
            <w:instrText xml:space="preserve"> PAGEREF _Toc20773 \h </w:instrText>
          </w:r>
          <w:r>
            <w:rPr>
              <w:color w:val="auto"/>
            </w:rPr>
            <w:fldChar w:fldCharType="separate"/>
          </w:r>
          <w:r>
            <w:rPr>
              <w:color w:val="auto"/>
            </w:rPr>
            <w:t>63</w:t>
          </w:r>
          <w:r>
            <w:rPr>
              <w:color w:val="auto"/>
            </w:rPr>
            <w:fldChar w:fldCharType="end"/>
          </w:r>
          <w:r>
            <w:rPr>
              <w:rFonts w:cs="Times New Roman"/>
              <w:bCs/>
              <w:color w:val="auto"/>
              <w:szCs w:val="21"/>
              <w:lang w:val="zh-CN"/>
            </w:rPr>
            <w:fldChar w:fldCharType="end"/>
          </w:r>
        </w:p>
        <w:p>
          <w:pPr>
            <w:pStyle w:val="17"/>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_Toc32737 </w:instrText>
          </w:r>
          <w:r>
            <w:rPr>
              <w:rFonts w:cs="Times New Roman"/>
              <w:bCs/>
              <w:color w:val="auto"/>
              <w:szCs w:val="21"/>
              <w:lang w:val="zh-CN"/>
            </w:rPr>
            <w:fldChar w:fldCharType="separate"/>
          </w:r>
          <w:r>
            <w:rPr>
              <w:rFonts w:hint="eastAsia"/>
              <w:color w:val="auto"/>
            </w:rPr>
            <w:t>附件1 建设项目竣工环境保护“三同时”验收登记表</w:t>
          </w:r>
          <w:r>
            <w:rPr>
              <w:color w:val="auto"/>
            </w:rPr>
            <w:tab/>
          </w:r>
          <w:r>
            <w:rPr>
              <w:color w:val="auto"/>
            </w:rPr>
            <w:fldChar w:fldCharType="begin"/>
          </w:r>
          <w:r>
            <w:rPr>
              <w:color w:val="auto"/>
            </w:rPr>
            <w:instrText xml:space="preserve"> PAGEREF _Toc32737 \h </w:instrText>
          </w:r>
          <w:r>
            <w:rPr>
              <w:color w:val="auto"/>
            </w:rPr>
            <w:fldChar w:fldCharType="separate"/>
          </w:r>
          <w:r>
            <w:rPr>
              <w:color w:val="auto"/>
            </w:rPr>
            <w:t>64</w:t>
          </w:r>
          <w:r>
            <w:rPr>
              <w:color w:val="auto"/>
            </w:rPr>
            <w:fldChar w:fldCharType="end"/>
          </w:r>
          <w:r>
            <w:rPr>
              <w:rFonts w:cs="Times New Roman"/>
              <w:bCs/>
              <w:color w:val="auto"/>
              <w:szCs w:val="21"/>
              <w:lang w:val="zh-CN"/>
            </w:rPr>
            <w:fldChar w:fldCharType="end"/>
          </w:r>
        </w:p>
        <w:p>
          <w:pPr>
            <w:pStyle w:val="17"/>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_Toc19350 </w:instrText>
          </w:r>
          <w:r>
            <w:rPr>
              <w:rFonts w:cs="Times New Roman"/>
              <w:bCs/>
              <w:color w:val="auto"/>
              <w:szCs w:val="21"/>
              <w:lang w:val="zh-CN"/>
            </w:rPr>
            <w:fldChar w:fldCharType="separate"/>
          </w:r>
          <w:r>
            <w:rPr>
              <w:rFonts w:hint="eastAsia"/>
              <w:color w:val="auto"/>
            </w:rPr>
            <w:t>附件2 营业执照</w:t>
          </w:r>
          <w:r>
            <w:rPr>
              <w:color w:val="auto"/>
            </w:rPr>
            <w:tab/>
          </w:r>
          <w:r>
            <w:rPr>
              <w:color w:val="auto"/>
            </w:rPr>
            <w:fldChar w:fldCharType="begin"/>
          </w:r>
          <w:r>
            <w:rPr>
              <w:color w:val="auto"/>
            </w:rPr>
            <w:instrText xml:space="preserve"> PAGEREF _Toc19350 \h </w:instrText>
          </w:r>
          <w:r>
            <w:rPr>
              <w:color w:val="auto"/>
            </w:rPr>
            <w:fldChar w:fldCharType="separate"/>
          </w:r>
          <w:r>
            <w:rPr>
              <w:color w:val="auto"/>
            </w:rPr>
            <w:t>65</w:t>
          </w:r>
          <w:r>
            <w:rPr>
              <w:color w:val="auto"/>
            </w:rPr>
            <w:fldChar w:fldCharType="end"/>
          </w:r>
          <w:r>
            <w:rPr>
              <w:rFonts w:cs="Times New Roman"/>
              <w:bCs/>
              <w:color w:val="auto"/>
              <w:szCs w:val="21"/>
              <w:lang w:val="zh-CN"/>
            </w:rPr>
            <w:fldChar w:fldCharType="end"/>
          </w:r>
        </w:p>
        <w:p>
          <w:pPr>
            <w:pStyle w:val="17"/>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_Toc12907 </w:instrText>
          </w:r>
          <w:r>
            <w:rPr>
              <w:rFonts w:cs="Times New Roman"/>
              <w:bCs/>
              <w:color w:val="auto"/>
              <w:szCs w:val="21"/>
              <w:lang w:val="zh-CN"/>
            </w:rPr>
            <w:fldChar w:fldCharType="separate"/>
          </w:r>
          <w:r>
            <w:rPr>
              <w:rFonts w:hint="eastAsia"/>
              <w:color w:val="auto"/>
            </w:rPr>
            <w:t>附件3</w:t>
          </w:r>
          <w:r>
            <w:rPr>
              <w:color w:val="auto"/>
            </w:rPr>
            <w:t xml:space="preserve"> </w:t>
          </w:r>
          <w:r>
            <w:rPr>
              <w:rFonts w:hint="eastAsia"/>
              <w:color w:val="auto"/>
            </w:rPr>
            <w:t>法人身份证复印件</w:t>
          </w:r>
          <w:r>
            <w:rPr>
              <w:color w:val="auto"/>
            </w:rPr>
            <w:tab/>
          </w:r>
          <w:r>
            <w:rPr>
              <w:color w:val="auto"/>
            </w:rPr>
            <w:fldChar w:fldCharType="begin"/>
          </w:r>
          <w:r>
            <w:rPr>
              <w:color w:val="auto"/>
            </w:rPr>
            <w:instrText xml:space="preserve"> PAGEREF _Toc12907 \h </w:instrText>
          </w:r>
          <w:r>
            <w:rPr>
              <w:color w:val="auto"/>
            </w:rPr>
            <w:fldChar w:fldCharType="separate"/>
          </w:r>
          <w:r>
            <w:rPr>
              <w:color w:val="auto"/>
            </w:rPr>
            <w:t>66</w:t>
          </w:r>
          <w:r>
            <w:rPr>
              <w:color w:val="auto"/>
            </w:rPr>
            <w:fldChar w:fldCharType="end"/>
          </w:r>
          <w:r>
            <w:rPr>
              <w:rFonts w:cs="Times New Roman"/>
              <w:bCs/>
              <w:color w:val="auto"/>
              <w:szCs w:val="21"/>
              <w:lang w:val="zh-CN"/>
            </w:rPr>
            <w:fldChar w:fldCharType="end"/>
          </w:r>
        </w:p>
        <w:p>
          <w:pPr>
            <w:pStyle w:val="17"/>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_Toc27386 </w:instrText>
          </w:r>
          <w:r>
            <w:rPr>
              <w:rFonts w:cs="Times New Roman"/>
              <w:bCs/>
              <w:color w:val="auto"/>
              <w:szCs w:val="21"/>
              <w:lang w:val="zh-CN"/>
            </w:rPr>
            <w:fldChar w:fldCharType="separate"/>
          </w:r>
          <w:r>
            <w:rPr>
              <w:rFonts w:hint="eastAsia"/>
              <w:color w:val="auto"/>
            </w:rPr>
            <w:t>附件4 环评批复</w:t>
          </w:r>
          <w:r>
            <w:rPr>
              <w:color w:val="auto"/>
            </w:rPr>
            <w:tab/>
          </w:r>
          <w:r>
            <w:rPr>
              <w:color w:val="auto"/>
            </w:rPr>
            <w:fldChar w:fldCharType="begin"/>
          </w:r>
          <w:r>
            <w:rPr>
              <w:color w:val="auto"/>
            </w:rPr>
            <w:instrText xml:space="preserve"> PAGEREF _Toc27386 \h </w:instrText>
          </w:r>
          <w:r>
            <w:rPr>
              <w:color w:val="auto"/>
            </w:rPr>
            <w:fldChar w:fldCharType="separate"/>
          </w:r>
          <w:r>
            <w:rPr>
              <w:color w:val="auto"/>
            </w:rPr>
            <w:t>67</w:t>
          </w:r>
          <w:r>
            <w:rPr>
              <w:color w:val="auto"/>
            </w:rPr>
            <w:fldChar w:fldCharType="end"/>
          </w:r>
          <w:r>
            <w:rPr>
              <w:rFonts w:cs="Times New Roman"/>
              <w:bCs/>
              <w:color w:val="auto"/>
              <w:szCs w:val="21"/>
              <w:lang w:val="zh-CN"/>
            </w:rPr>
            <w:fldChar w:fldCharType="end"/>
          </w:r>
        </w:p>
        <w:p>
          <w:pPr>
            <w:pStyle w:val="17"/>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_Toc22867 </w:instrText>
          </w:r>
          <w:r>
            <w:rPr>
              <w:rFonts w:cs="Times New Roman"/>
              <w:bCs/>
              <w:color w:val="auto"/>
              <w:szCs w:val="21"/>
              <w:lang w:val="zh-CN"/>
            </w:rPr>
            <w:fldChar w:fldCharType="separate"/>
          </w:r>
          <w:r>
            <w:rPr>
              <w:rFonts w:hint="eastAsia"/>
              <w:color w:val="auto"/>
            </w:rPr>
            <w:t>附件5 关于茂名市富临门科技有限公司纳入市政污水管网的申请函</w:t>
          </w:r>
          <w:r>
            <w:rPr>
              <w:color w:val="auto"/>
            </w:rPr>
            <w:tab/>
          </w:r>
          <w:r>
            <w:rPr>
              <w:color w:val="auto"/>
            </w:rPr>
            <w:fldChar w:fldCharType="begin"/>
          </w:r>
          <w:r>
            <w:rPr>
              <w:color w:val="auto"/>
            </w:rPr>
            <w:instrText xml:space="preserve"> PAGEREF _Toc22867 \h </w:instrText>
          </w:r>
          <w:r>
            <w:rPr>
              <w:color w:val="auto"/>
            </w:rPr>
            <w:fldChar w:fldCharType="separate"/>
          </w:r>
          <w:r>
            <w:rPr>
              <w:color w:val="auto"/>
            </w:rPr>
            <w:t>73</w:t>
          </w:r>
          <w:r>
            <w:rPr>
              <w:color w:val="auto"/>
            </w:rPr>
            <w:fldChar w:fldCharType="end"/>
          </w:r>
          <w:r>
            <w:rPr>
              <w:rFonts w:cs="Times New Roman"/>
              <w:bCs/>
              <w:color w:val="auto"/>
              <w:szCs w:val="21"/>
              <w:lang w:val="zh-CN"/>
            </w:rPr>
            <w:fldChar w:fldCharType="end"/>
          </w:r>
        </w:p>
        <w:p>
          <w:pPr>
            <w:pStyle w:val="17"/>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_Toc26792 </w:instrText>
          </w:r>
          <w:r>
            <w:rPr>
              <w:rFonts w:cs="Times New Roman"/>
              <w:bCs/>
              <w:color w:val="auto"/>
              <w:szCs w:val="21"/>
              <w:lang w:val="zh-CN"/>
            </w:rPr>
            <w:fldChar w:fldCharType="separate"/>
          </w:r>
          <w:r>
            <w:rPr>
              <w:rFonts w:hint="eastAsia"/>
              <w:color w:val="auto"/>
            </w:rPr>
            <w:t xml:space="preserve">附件6 危废合同 </w:t>
          </w:r>
          <w:r>
            <w:rPr>
              <w:color w:val="auto"/>
            </w:rPr>
            <w:tab/>
          </w:r>
          <w:r>
            <w:rPr>
              <w:color w:val="auto"/>
            </w:rPr>
            <w:fldChar w:fldCharType="begin"/>
          </w:r>
          <w:r>
            <w:rPr>
              <w:color w:val="auto"/>
            </w:rPr>
            <w:instrText xml:space="preserve"> PAGEREF _Toc26792 \h </w:instrText>
          </w:r>
          <w:r>
            <w:rPr>
              <w:color w:val="auto"/>
            </w:rPr>
            <w:fldChar w:fldCharType="separate"/>
          </w:r>
          <w:r>
            <w:rPr>
              <w:color w:val="auto"/>
            </w:rPr>
            <w:t>74</w:t>
          </w:r>
          <w:r>
            <w:rPr>
              <w:color w:val="auto"/>
            </w:rPr>
            <w:fldChar w:fldCharType="end"/>
          </w:r>
          <w:r>
            <w:rPr>
              <w:rFonts w:cs="Times New Roman"/>
              <w:bCs/>
              <w:color w:val="auto"/>
              <w:szCs w:val="21"/>
              <w:lang w:val="zh-CN"/>
            </w:rPr>
            <w:fldChar w:fldCharType="end"/>
          </w:r>
        </w:p>
        <w:p>
          <w:pPr>
            <w:pStyle w:val="17"/>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_Toc1084 </w:instrText>
          </w:r>
          <w:r>
            <w:rPr>
              <w:rFonts w:cs="Times New Roman"/>
              <w:bCs/>
              <w:color w:val="auto"/>
              <w:szCs w:val="21"/>
              <w:lang w:val="zh-CN"/>
            </w:rPr>
            <w:fldChar w:fldCharType="separate"/>
          </w:r>
          <w:r>
            <w:rPr>
              <w:rFonts w:hint="eastAsia"/>
              <w:color w:val="auto"/>
            </w:rPr>
            <w:t>附件7</w:t>
          </w:r>
          <w:r>
            <w:rPr>
              <w:color w:val="auto"/>
            </w:rPr>
            <w:t xml:space="preserve"> </w:t>
          </w:r>
          <w:r>
            <w:rPr>
              <w:rFonts w:hint="eastAsia"/>
              <w:color w:val="auto"/>
            </w:rPr>
            <w:t>监测报告</w:t>
          </w:r>
          <w:r>
            <w:rPr>
              <w:color w:val="auto"/>
            </w:rPr>
            <w:tab/>
          </w:r>
          <w:r>
            <w:rPr>
              <w:color w:val="auto"/>
            </w:rPr>
            <w:fldChar w:fldCharType="begin"/>
          </w:r>
          <w:r>
            <w:rPr>
              <w:color w:val="auto"/>
            </w:rPr>
            <w:instrText xml:space="preserve"> PAGEREF _Toc1084 \h </w:instrText>
          </w:r>
          <w:r>
            <w:rPr>
              <w:color w:val="auto"/>
            </w:rPr>
            <w:fldChar w:fldCharType="separate"/>
          </w:r>
          <w:r>
            <w:rPr>
              <w:color w:val="auto"/>
            </w:rPr>
            <w:t>79</w:t>
          </w:r>
          <w:r>
            <w:rPr>
              <w:color w:val="auto"/>
            </w:rPr>
            <w:fldChar w:fldCharType="end"/>
          </w:r>
          <w:r>
            <w:rPr>
              <w:rFonts w:cs="Times New Roman"/>
              <w:bCs/>
              <w:color w:val="auto"/>
              <w:szCs w:val="21"/>
              <w:lang w:val="zh-CN"/>
            </w:rPr>
            <w:fldChar w:fldCharType="end"/>
          </w:r>
        </w:p>
        <w:p>
          <w:pPr>
            <w:pStyle w:val="17"/>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_Toc2738 </w:instrText>
          </w:r>
          <w:r>
            <w:rPr>
              <w:rFonts w:cs="Times New Roman"/>
              <w:bCs/>
              <w:color w:val="auto"/>
              <w:szCs w:val="21"/>
              <w:lang w:val="zh-CN"/>
            </w:rPr>
            <w:fldChar w:fldCharType="separate"/>
          </w:r>
          <w:r>
            <w:rPr>
              <w:rFonts w:hint="eastAsia"/>
              <w:color w:val="auto"/>
            </w:rPr>
            <w:t>附件8</w:t>
          </w:r>
          <w:r>
            <w:rPr>
              <w:color w:val="auto"/>
            </w:rPr>
            <w:t xml:space="preserve"> </w:t>
          </w:r>
          <w:r>
            <w:rPr>
              <w:rFonts w:hint="eastAsia"/>
              <w:color w:val="auto"/>
            </w:rPr>
            <w:t>茂名华清水务有限公司废水监测处理服务合同</w:t>
          </w:r>
          <w:r>
            <w:rPr>
              <w:color w:val="auto"/>
            </w:rPr>
            <w:tab/>
          </w:r>
          <w:r>
            <w:rPr>
              <w:color w:val="auto"/>
            </w:rPr>
            <w:fldChar w:fldCharType="begin"/>
          </w:r>
          <w:r>
            <w:rPr>
              <w:color w:val="auto"/>
            </w:rPr>
            <w:instrText xml:space="preserve"> PAGEREF _Toc2738 \h </w:instrText>
          </w:r>
          <w:r>
            <w:rPr>
              <w:color w:val="auto"/>
            </w:rPr>
            <w:fldChar w:fldCharType="separate"/>
          </w:r>
          <w:r>
            <w:rPr>
              <w:color w:val="auto"/>
            </w:rPr>
            <w:t>95</w:t>
          </w:r>
          <w:r>
            <w:rPr>
              <w:color w:val="auto"/>
            </w:rPr>
            <w:fldChar w:fldCharType="end"/>
          </w:r>
          <w:r>
            <w:rPr>
              <w:rFonts w:cs="Times New Roman"/>
              <w:bCs/>
              <w:color w:val="auto"/>
              <w:szCs w:val="21"/>
              <w:lang w:val="zh-CN"/>
            </w:rPr>
            <w:fldChar w:fldCharType="end"/>
          </w:r>
        </w:p>
        <w:p>
          <w:pPr>
            <w:pStyle w:val="17"/>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_Toc2540 </w:instrText>
          </w:r>
          <w:r>
            <w:rPr>
              <w:rFonts w:cs="Times New Roman"/>
              <w:bCs/>
              <w:color w:val="auto"/>
              <w:szCs w:val="21"/>
              <w:lang w:val="zh-CN"/>
            </w:rPr>
            <w:fldChar w:fldCharType="separate"/>
          </w:r>
          <w:r>
            <w:rPr>
              <w:rFonts w:hint="eastAsia"/>
              <w:color w:val="auto"/>
            </w:rPr>
            <w:t>附件9 台账</w:t>
          </w:r>
          <w:r>
            <w:rPr>
              <w:color w:val="auto"/>
            </w:rPr>
            <w:tab/>
          </w:r>
          <w:r>
            <w:rPr>
              <w:color w:val="auto"/>
            </w:rPr>
            <w:fldChar w:fldCharType="begin"/>
          </w:r>
          <w:r>
            <w:rPr>
              <w:color w:val="auto"/>
            </w:rPr>
            <w:instrText xml:space="preserve"> PAGEREF _Toc2540 \h </w:instrText>
          </w:r>
          <w:r>
            <w:rPr>
              <w:color w:val="auto"/>
            </w:rPr>
            <w:fldChar w:fldCharType="separate"/>
          </w:r>
          <w:r>
            <w:rPr>
              <w:color w:val="auto"/>
            </w:rPr>
            <w:t>99</w:t>
          </w:r>
          <w:r>
            <w:rPr>
              <w:color w:val="auto"/>
            </w:rPr>
            <w:fldChar w:fldCharType="end"/>
          </w:r>
          <w:r>
            <w:rPr>
              <w:rFonts w:cs="Times New Roman"/>
              <w:bCs/>
              <w:color w:val="auto"/>
              <w:szCs w:val="21"/>
              <w:lang w:val="zh-CN"/>
            </w:rPr>
            <w:fldChar w:fldCharType="end"/>
          </w:r>
        </w:p>
        <w:p>
          <w:pPr>
            <w:pStyle w:val="17"/>
            <w:tabs>
              <w:tab w:val="right" w:leader="dot" w:pos="8390"/>
            </w:tabs>
            <w:rPr>
              <w:color w:val="auto"/>
            </w:rPr>
          </w:pPr>
          <w:r>
            <w:rPr>
              <w:rFonts w:cs="Times New Roman"/>
              <w:bCs/>
              <w:color w:val="auto"/>
              <w:szCs w:val="21"/>
              <w:lang w:val="zh-CN"/>
            </w:rPr>
            <w:fldChar w:fldCharType="begin"/>
          </w:r>
          <w:r>
            <w:rPr>
              <w:rFonts w:cs="Times New Roman"/>
              <w:bCs/>
              <w:color w:val="auto"/>
              <w:szCs w:val="21"/>
              <w:lang w:val="zh-CN"/>
            </w:rPr>
            <w:instrText xml:space="preserve"> HYPERLINK \l _Toc14813 </w:instrText>
          </w:r>
          <w:r>
            <w:rPr>
              <w:rFonts w:cs="Times New Roman"/>
              <w:bCs/>
              <w:color w:val="auto"/>
              <w:szCs w:val="21"/>
              <w:lang w:val="zh-CN"/>
            </w:rPr>
            <w:fldChar w:fldCharType="separate"/>
          </w:r>
          <w:r>
            <w:rPr>
              <w:rFonts w:hint="eastAsia"/>
              <w:color w:val="auto"/>
            </w:rPr>
            <w:t>附图 现场分区标识</w:t>
          </w:r>
          <w:r>
            <w:rPr>
              <w:color w:val="auto"/>
            </w:rPr>
            <w:tab/>
          </w:r>
          <w:r>
            <w:rPr>
              <w:color w:val="auto"/>
            </w:rPr>
            <w:fldChar w:fldCharType="begin"/>
          </w:r>
          <w:r>
            <w:rPr>
              <w:color w:val="auto"/>
            </w:rPr>
            <w:instrText xml:space="preserve"> PAGEREF _Toc14813 \h </w:instrText>
          </w:r>
          <w:r>
            <w:rPr>
              <w:color w:val="auto"/>
            </w:rPr>
            <w:fldChar w:fldCharType="separate"/>
          </w:r>
          <w:r>
            <w:rPr>
              <w:color w:val="auto"/>
            </w:rPr>
            <w:t>105</w:t>
          </w:r>
          <w:r>
            <w:rPr>
              <w:color w:val="auto"/>
            </w:rPr>
            <w:fldChar w:fldCharType="end"/>
          </w:r>
          <w:r>
            <w:rPr>
              <w:rFonts w:cs="Times New Roman"/>
              <w:bCs/>
              <w:color w:val="auto"/>
              <w:szCs w:val="21"/>
              <w:lang w:val="zh-CN"/>
            </w:rPr>
            <w:fldChar w:fldCharType="end"/>
          </w:r>
        </w:p>
        <w:p>
          <w:pPr>
            <w:pStyle w:val="17"/>
            <w:tabs>
              <w:tab w:val="right" w:leader="dot" w:pos="8296"/>
            </w:tabs>
            <w:spacing w:line="240" w:lineRule="auto"/>
            <w:ind w:left="480" w:firstLine="420"/>
            <w:rPr>
              <w:rFonts w:cs="Times New Roman"/>
              <w:color w:val="auto"/>
              <w:sz w:val="21"/>
              <w:szCs w:val="21"/>
            </w:rPr>
            <w:sectPr>
              <w:footerReference r:id="rId9" w:type="default"/>
              <w:pgSz w:w="11906" w:h="16838"/>
              <w:pgMar w:top="1304" w:right="1758" w:bottom="1361" w:left="1758" w:header="851" w:footer="992" w:gutter="0"/>
              <w:pgNumType w:fmt="lowerRoman" w:start="1"/>
              <w:cols w:space="425" w:num="1"/>
              <w:docGrid w:type="lines" w:linePitch="312" w:charSpace="0"/>
            </w:sectPr>
          </w:pPr>
          <w:r>
            <w:rPr>
              <w:rFonts w:cs="Times New Roman"/>
              <w:bCs/>
              <w:color w:val="auto"/>
              <w:szCs w:val="21"/>
              <w:lang w:val="zh-CN"/>
            </w:rPr>
            <w:fldChar w:fldCharType="end"/>
          </w:r>
        </w:p>
      </w:sdtContent>
    </w:sdt>
    <w:p>
      <w:pPr>
        <w:pStyle w:val="2"/>
        <w:rPr>
          <w:color w:val="auto"/>
          <w:sz w:val="32"/>
          <w:szCs w:val="32"/>
        </w:rPr>
      </w:pPr>
      <w:bookmarkStart w:id="9" w:name="_Toc17063"/>
      <w:r>
        <w:rPr>
          <w:rFonts w:hint="eastAsia"/>
          <w:color w:val="auto"/>
          <w:sz w:val="32"/>
          <w:szCs w:val="32"/>
        </w:rPr>
        <w:t>项目概况</w:t>
      </w:r>
      <w:bookmarkEnd w:id="9"/>
    </w:p>
    <w:p>
      <w:pPr>
        <w:snapToGrid w:val="0"/>
        <w:ind w:firstLine="480"/>
        <w:rPr>
          <w:rFonts w:cs="Times New Roman"/>
          <w:color w:val="auto"/>
          <w:szCs w:val="24"/>
          <w:highlight w:val="yellow"/>
        </w:rPr>
      </w:pPr>
      <w:r>
        <w:rPr>
          <w:rFonts w:cs="Times New Roman"/>
          <w:color w:val="auto"/>
        </w:rPr>
        <w:t>茂名市富临门科技有限公司成立于2023年3月28日，租赁茂名市电白区沙院镇沙院政府后2号仓库之一（中心地理坐标为东经110°57′21.385″，北纬21°29′43.645″）。</w:t>
      </w:r>
      <w:r>
        <w:rPr>
          <w:rFonts w:cs="Times New Roman"/>
          <w:color w:val="auto"/>
          <w:szCs w:val="24"/>
        </w:rPr>
        <w:t>本项目主要从事金属门窗制造，年生产金属大门3000套。项目占地面积5100m</w:t>
      </w:r>
      <w:r>
        <w:rPr>
          <w:rFonts w:cs="Times New Roman"/>
          <w:color w:val="auto"/>
          <w:szCs w:val="24"/>
          <w:vertAlign w:val="superscript"/>
        </w:rPr>
        <w:t>2</w:t>
      </w:r>
      <w:r>
        <w:rPr>
          <w:rFonts w:cs="Times New Roman"/>
          <w:color w:val="auto"/>
          <w:szCs w:val="24"/>
        </w:rPr>
        <w:t>，建筑面积4862.36m</w:t>
      </w:r>
      <w:r>
        <w:rPr>
          <w:rFonts w:cs="Times New Roman"/>
          <w:color w:val="auto"/>
          <w:szCs w:val="24"/>
          <w:vertAlign w:val="superscript"/>
        </w:rPr>
        <w:t>2</w:t>
      </w:r>
      <w:r>
        <w:rPr>
          <w:rFonts w:cs="Times New Roman"/>
          <w:color w:val="auto"/>
          <w:szCs w:val="24"/>
        </w:rPr>
        <w:t>。</w:t>
      </w:r>
      <w:r>
        <w:rPr>
          <w:rFonts w:cs="Times New Roman"/>
          <w:color w:val="auto"/>
        </w:rPr>
        <w:t>主要建设内容</w:t>
      </w:r>
      <w:r>
        <w:rPr>
          <w:rFonts w:cs="Times New Roman"/>
          <w:color w:val="auto"/>
          <w:szCs w:val="24"/>
        </w:rPr>
        <w:t>包括开料及折弯区、刨槽及冲孔区、焊框区、胶合区、门扇封花区、焊罗马头区、打磨区、清抹区、喷粉及固化区、喷漆及烘干区1、喷漆及烘干区2、拉丝区、装配及成品调试区等，以及配套建设公用工程及环保工程。项目总投资110万元，其中环保投资约30万元，占总投27.27%。项目员工人数47人，</w:t>
      </w:r>
      <w:r>
        <w:rPr>
          <w:rFonts w:cs="Times New Roman"/>
          <w:color w:val="auto"/>
          <w:kern w:val="0"/>
          <w:szCs w:val="24"/>
        </w:rPr>
        <w:t>仅在厂区内就餐，不住宿，</w:t>
      </w:r>
      <w:r>
        <w:rPr>
          <w:rFonts w:cs="Times New Roman"/>
          <w:color w:val="auto"/>
          <w:szCs w:val="24"/>
        </w:rPr>
        <w:t>年工作 300天，白天生产，一班制，每班8小时。</w:t>
      </w:r>
    </w:p>
    <w:p>
      <w:pPr>
        <w:ind w:firstLine="480"/>
        <w:rPr>
          <w:rFonts w:cs="Times New Roman"/>
          <w:color w:val="auto"/>
          <w:szCs w:val="24"/>
        </w:rPr>
      </w:pPr>
      <w:r>
        <w:rPr>
          <w:rFonts w:cs="Times New Roman"/>
          <w:color w:val="auto"/>
        </w:rPr>
        <w:t>2025年11月，茂名市富临门科技有限公司委托茂名旭日环保科技有限公司编制完成了《茂名市富临门科技有限公司年产3000套金属大门建设项目环境影响报告表》。该项目于</w:t>
      </w:r>
      <w:r>
        <w:rPr>
          <w:rFonts w:cs="Times New Roman"/>
          <w:color w:val="auto"/>
          <w:szCs w:val="24"/>
        </w:rPr>
        <w:t>2025年11月12日取得茂名市生态环境局电白分局《关于茂名市富临门科技有限公司年产3000套金属大门建设项目环境影响报告表的批复》（茂环（电白）审[2025]16号）。本建设项目于2025年11工建设，于2025年12试运营。</w:t>
      </w:r>
    </w:p>
    <w:p>
      <w:pPr>
        <w:ind w:firstLine="480"/>
        <w:rPr>
          <w:rFonts w:cs="Times New Roman"/>
          <w:color w:val="auto"/>
        </w:rPr>
        <w:sectPr>
          <w:footerReference r:id="rId10" w:type="default"/>
          <w:pgSz w:w="11906" w:h="16838"/>
          <w:pgMar w:top="1440" w:right="1800" w:bottom="1440" w:left="1800" w:header="851" w:footer="992" w:gutter="0"/>
          <w:pgNumType w:start="1"/>
          <w:cols w:space="425" w:num="1"/>
          <w:docGrid w:type="lines" w:linePitch="312" w:charSpace="0"/>
        </w:sectPr>
      </w:pPr>
      <w:r>
        <w:rPr>
          <w:rFonts w:cs="Times New Roman"/>
          <w:color w:val="auto"/>
        </w:rPr>
        <w:t>目前，本项目所有建设内容及环保辅助设施等已建设完成，生产状态稳定，已具备验收条件。我司（茂名市富临门科技有限公司）承担本项目竣工环境保护验收监测工作。我公司根据《建设项目竣工环境保护验收暂行办法》（国环规环评〔2017〕4号，环境保护部2017年11月20日）及生态环境部《建设项目竣工环境保护验收技术指南 污染影响类》的有关规定，于2025年12月组织有关人员进行了资料核查和现场勘察，查阅了有关环保文件和技术资料，查看了污染物治理及排放设施的落实情况，编写了验收监测方案。根据验收监测方案，我公司委托茂名市广润检测有限公司对本项目排放的废水、废气、噪声及固废进行现场采样监测及检查验证，在此基础上编写了本报告。</w:t>
      </w:r>
    </w:p>
    <w:p>
      <w:pPr>
        <w:pStyle w:val="2"/>
        <w:rPr>
          <w:color w:val="auto"/>
          <w:sz w:val="32"/>
          <w:szCs w:val="32"/>
        </w:rPr>
      </w:pPr>
      <w:bookmarkStart w:id="10" w:name="_Toc27689"/>
      <w:r>
        <w:rPr>
          <w:rFonts w:hint="eastAsia"/>
          <w:color w:val="auto"/>
          <w:sz w:val="32"/>
          <w:szCs w:val="32"/>
        </w:rPr>
        <w:t>验收依据</w:t>
      </w:r>
      <w:bookmarkEnd w:id="10"/>
    </w:p>
    <w:p>
      <w:pPr>
        <w:ind w:firstLine="480"/>
        <w:rPr>
          <w:color w:val="auto"/>
        </w:rPr>
      </w:pPr>
      <w:r>
        <w:rPr>
          <w:rFonts w:hint="eastAsia"/>
          <w:color w:val="auto"/>
        </w:rPr>
        <w:t>（1）《中华人民共和国环境保护法》（2015年1月1日起施行）；</w:t>
      </w:r>
    </w:p>
    <w:p>
      <w:pPr>
        <w:ind w:firstLine="480"/>
        <w:rPr>
          <w:color w:val="auto"/>
        </w:rPr>
      </w:pPr>
      <w:r>
        <w:rPr>
          <w:rFonts w:hint="eastAsia"/>
          <w:color w:val="auto"/>
        </w:rPr>
        <w:t>（2）《中华人民共和国大气污染防治法》（自2018年10月26日起施行）；</w:t>
      </w:r>
    </w:p>
    <w:p>
      <w:pPr>
        <w:ind w:firstLine="480"/>
        <w:rPr>
          <w:color w:val="auto"/>
        </w:rPr>
      </w:pPr>
      <w:r>
        <w:rPr>
          <w:rFonts w:hint="eastAsia"/>
          <w:color w:val="auto"/>
        </w:rPr>
        <w:t>（3）《中华人民共和国水污染防治法》（2018年1月1日起施行）；</w:t>
      </w:r>
    </w:p>
    <w:p>
      <w:pPr>
        <w:ind w:firstLine="480"/>
        <w:rPr>
          <w:color w:val="auto"/>
        </w:rPr>
      </w:pPr>
      <w:r>
        <w:rPr>
          <w:rFonts w:hint="eastAsia"/>
          <w:color w:val="auto"/>
        </w:rPr>
        <w:t>（4）《中华人民共和国噪声污染防治法》（2022年6月5日起施行）；</w:t>
      </w:r>
    </w:p>
    <w:p>
      <w:pPr>
        <w:ind w:firstLine="480"/>
        <w:rPr>
          <w:color w:val="auto"/>
        </w:rPr>
      </w:pPr>
      <w:r>
        <w:rPr>
          <w:rFonts w:hint="eastAsia"/>
          <w:color w:val="auto"/>
        </w:rPr>
        <w:t>（5）《中华人民共和国固体废物污染防治法》（2020年9月1日起施行）；</w:t>
      </w:r>
    </w:p>
    <w:p>
      <w:pPr>
        <w:ind w:firstLine="480"/>
        <w:rPr>
          <w:color w:val="auto"/>
        </w:rPr>
      </w:pPr>
      <w:r>
        <w:rPr>
          <w:rFonts w:hint="eastAsia"/>
          <w:color w:val="auto"/>
        </w:rPr>
        <w:t>（6）《建设项目环境保护管理条例》（国务院第682号令，2017年10月）；</w:t>
      </w:r>
    </w:p>
    <w:p>
      <w:pPr>
        <w:ind w:firstLine="480"/>
        <w:rPr>
          <w:color w:val="auto"/>
        </w:rPr>
      </w:pPr>
      <w:r>
        <w:rPr>
          <w:rFonts w:hint="eastAsia"/>
          <w:color w:val="auto"/>
        </w:rPr>
        <w:t>（7）《建设项目竣工环境保护验收暂行办法》（国环规环评〔2017〕4号，环境保护部2017年11月20日）；</w:t>
      </w:r>
    </w:p>
    <w:p>
      <w:pPr>
        <w:ind w:firstLine="480"/>
        <w:rPr>
          <w:color w:val="auto"/>
        </w:rPr>
      </w:pPr>
      <w:r>
        <w:rPr>
          <w:rFonts w:hint="eastAsia"/>
          <w:color w:val="auto"/>
        </w:rPr>
        <w:t>（8）《建设项目竣工环境保护验收技术指南 污染影响类》（生态环境部2018年5月16日）；</w:t>
      </w:r>
    </w:p>
    <w:p>
      <w:pPr>
        <w:ind w:firstLine="480"/>
        <w:rPr>
          <w:color w:val="auto"/>
        </w:rPr>
      </w:pPr>
      <w:r>
        <w:rPr>
          <w:rFonts w:hint="eastAsia"/>
          <w:color w:val="auto"/>
        </w:rPr>
        <w:t>（9）茂名市环境保护局《关于印发建设单位自主开展竣工环境保护验收工作指引（试行）的通知》（茂环〔2018〕9号）；</w:t>
      </w:r>
    </w:p>
    <w:p>
      <w:pPr>
        <w:ind w:firstLine="480"/>
        <w:rPr>
          <w:color w:val="auto"/>
        </w:rPr>
      </w:pPr>
      <w:r>
        <w:rPr>
          <w:rFonts w:hint="eastAsia"/>
          <w:color w:val="auto"/>
        </w:rPr>
        <w:t>（10）《污染影响类建设项目重大变动清单（试行）》（环办环评函〔2020〕688 号）；</w:t>
      </w:r>
    </w:p>
    <w:p>
      <w:pPr>
        <w:ind w:firstLine="480"/>
        <w:rPr>
          <w:color w:val="auto"/>
        </w:rPr>
      </w:pPr>
      <w:r>
        <w:rPr>
          <w:rFonts w:hint="eastAsia"/>
          <w:color w:val="auto"/>
        </w:rPr>
        <w:t>（11）《关于印发〈工业炉窑大气污染综合治理方案〉的通知》（环大气〔2019〕56号）；</w:t>
      </w:r>
    </w:p>
    <w:p>
      <w:pPr>
        <w:ind w:firstLine="480"/>
        <w:rPr>
          <w:color w:val="auto"/>
        </w:rPr>
      </w:pPr>
      <w:r>
        <w:rPr>
          <w:rFonts w:hint="eastAsia"/>
          <w:color w:val="auto"/>
        </w:rPr>
        <w:t>（12）广东省地方标准《大气污染物排放限值》（DB44/27—2001）；</w:t>
      </w:r>
    </w:p>
    <w:p>
      <w:pPr>
        <w:ind w:firstLine="480"/>
        <w:rPr>
          <w:color w:val="auto"/>
        </w:rPr>
      </w:pPr>
      <w:r>
        <w:rPr>
          <w:rFonts w:hint="eastAsia"/>
          <w:color w:val="auto"/>
        </w:rPr>
        <w:t>（13）《恶臭污染物排放标准》（GB14554-93）；</w:t>
      </w:r>
    </w:p>
    <w:p>
      <w:pPr>
        <w:ind w:firstLine="480"/>
        <w:rPr>
          <w:color w:val="auto"/>
        </w:rPr>
      </w:pPr>
      <w:r>
        <w:rPr>
          <w:rFonts w:hint="eastAsia"/>
          <w:color w:val="auto"/>
        </w:rPr>
        <w:t>（14）《城市污水再生利用城市杂用水水质》（GB/T18920-2020）；</w:t>
      </w:r>
    </w:p>
    <w:p>
      <w:pPr>
        <w:ind w:firstLine="480"/>
        <w:rPr>
          <w:color w:val="auto"/>
        </w:rPr>
      </w:pPr>
      <w:r>
        <w:rPr>
          <w:rFonts w:hint="eastAsia"/>
          <w:color w:val="auto"/>
        </w:rPr>
        <w:t>（15）《工业企业厂界噪声排放标准》（GB12348-2008）；</w:t>
      </w:r>
    </w:p>
    <w:p>
      <w:pPr>
        <w:ind w:firstLine="480"/>
        <w:rPr>
          <w:color w:val="auto"/>
        </w:rPr>
      </w:pPr>
      <w:r>
        <w:rPr>
          <w:rFonts w:hint="eastAsia"/>
          <w:color w:val="auto"/>
        </w:rPr>
        <w:t>（16）《危险废物贮存污染控制标准》（GB18597-20</w:t>
      </w:r>
      <w:r>
        <w:rPr>
          <w:color w:val="auto"/>
        </w:rPr>
        <w:t>23</w:t>
      </w:r>
      <w:r>
        <w:rPr>
          <w:rFonts w:hint="eastAsia"/>
          <w:color w:val="auto"/>
        </w:rPr>
        <w:t>）；</w:t>
      </w:r>
    </w:p>
    <w:p>
      <w:pPr>
        <w:ind w:firstLine="480"/>
        <w:rPr>
          <w:color w:val="auto"/>
        </w:rPr>
      </w:pPr>
      <w:r>
        <w:rPr>
          <w:rFonts w:hint="eastAsia"/>
          <w:color w:val="auto"/>
        </w:rPr>
        <w:t>（17）《一般工业固体废物贮存、处置场污染控制标准》（GB 18599-2020）。</w:t>
      </w:r>
    </w:p>
    <w:p>
      <w:pPr>
        <w:ind w:firstLine="480"/>
        <w:rPr>
          <w:color w:val="auto"/>
        </w:rPr>
      </w:pPr>
      <w:r>
        <w:rPr>
          <w:rFonts w:hint="eastAsia"/>
          <w:color w:val="auto"/>
        </w:rPr>
        <w:t>（18）《</w:t>
      </w:r>
      <w:r>
        <w:rPr>
          <w:rFonts w:hint="eastAsia" w:ascii="宋体" w:hAnsi="宋体" w:cs="Times New Roman"/>
          <w:color w:val="auto"/>
          <w:szCs w:val="24"/>
        </w:rPr>
        <w:t>茂名市富临门科技有限公司年产 3000 套金属大门建设项目环境影响报告表</w:t>
      </w:r>
      <w:r>
        <w:rPr>
          <w:rFonts w:hint="eastAsia"/>
          <w:color w:val="auto"/>
        </w:rPr>
        <w:t>》（茂名旭日环保科技有限公司，2025年11月）；</w:t>
      </w:r>
    </w:p>
    <w:p>
      <w:pPr>
        <w:ind w:firstLine="480"/>
        <w:rPr>
          <w:color w:val="auto"/>
        </w:rPr>
      </w:pPr>
      <w:r>
        <w:rPr>
          <w:rFonts w:hint="eastAsia"/>
          <w:color w:val="auto"/>
        </w:rPr>
        <w:t>（20）</w:t>
      </w:r>
      <w:r>
        <w:rPr>
          <w:rFonts w:hint="eastAsia" w:ascii="宋体" w:hAnsi="宋体" w:cs="Times New Roman"/>
          <w:color w:val="auto"/>
          <w:szCs w:val="24"/>
        </w:rPr>
        <w:t>《关于茂名市富临门科技有限公司年产 3000 套金属大门建设项目环境影响报告表的批复》（茂环（电白）审</w:t>
      </w:r>
      <w:r>
        <w:rPr>
          <w:rFonts w:hint="eastAsia" w:cs="Times New Roman"/>
          <w:color w:val="auto"/>
          <w:szCs w:val="24"/>
        </w:rPr>
        <w:t>[2025]16</w:t>
      </w:r>
      <w:r>
        <w:rPr>
          <w:rFonts w:hint="eastAsia" w:ascii="宋体" w:hAnsi="宋体" w:cs="Times New Roman"/>
          <w:color w:val="auto"/>
          <w:szCs w:val="24"/>
        </w:rPr>
        <w:t>号）</w:t>
      </w:r>
      <w:r>
        <w:rPr>
          <w:rFonts w:hint="eastAsia"/>
          <w:color w:val="auto"/>
        </w:rPr>
        <w:t>，茂名市生态环境局电白分局，2025年11月12日）。</w:t>
      </w:r>
    </w:p>
    <w:p>
      <w:pPr>
        <w:pStyle w:val="2"/>
        <w:rPr>
          <w:color w:val="auto"/>
          <w:sz w:val="32"/>
          <w:szCs w:val="32"/>
        </w:rPr>
      </w:pPr>
      <w:bookmarkStart w:id="11" w:name="_Toc19769"/>
      <w:r>
        <w:rPr>
          <w:rFonts w:hint="eastAsia"/>
          <w:color w:val="auto"/>
          <w:sz w:val="32"/>
          <w:szCs w:val="32"/>
        </w:rPr>
        <w:t>项目建设情况</w:t>
      </w:r>
      <w:bookmarkEnd w:id="11"/>
    </w:p>
    <w:p>
      <w:pPr>
        <w:pStyle w:val="3"/>
        <w:numPr>
          <w:ilvl w:val="1"/>
          <w:numId w:val="0"/>
        </w:numPr>
        <w:rPr>
          <w:color w:val="auto"/>
          <w:sz w:val="30"/>
          <w:szCs w:val="30"/>
        </w:rPr>
      </w:pPr>
      <w:bookmarkStart w:id="12" w:name="_Toc12049"/>
      <w:bookmarkStart w:id="13" w:name="_Toc16247"/>
      <w:r>
        <w:rPr>
          <w:rFonts w:hint="eastAsia"/>
          <w:color w:val="auto"/>
          <w:sz w:val="30"/>
          <w:szCs w:val="30"/>
        </w:rPr>
        <w:t>3.1地理位置、平面布置及环境保护目标</w:t>
      </w:r>
      <w:bookmarkEnd w:id="12"/>
      <w:bookmarkEnd w:id="13"/>
    </w:p>
    <w:p>
      <w:pPr>
        <w:ind w:firstLine="480"/>
        <w:rPr>
          <w:color w:val="auto"/>
        </w:rPr>
      </w:pPr>
      <w:r>
        <w:rPr>
          <w:rFonts w:hint="eastAsia"/>
          <w:color w:val="auto"/>
        </w:rPr>
        <w:t>本项目位于</w:t>
      </w:r>
      <w:r>
        <w:rPr>
          <w:rFonts w:ascii="宋体" w:hAnsi="宋体"/>
          <w:color w:val="auto"/>
          <w:szCs w:val="24"/>
        </w:rPr>
        <w:t>茂名市电白区沙院镇沙院政府后</w:t>
      </w:r>
      <w:r>
        <w:rPr>
          <w:color w:val="auto"/>
          <w:szCs w:val="24"/>
        </w:rPr>
        <w:t>2</w:t>
      </w:r>
      <w:r>
        <w:rPr>
          <w:rFonts w:ascii="宋体" w:hAnsi="宋体"/>
          <w:color w:val="auto"/>
          <w:szCs w:val="24"/>
        </w:rPr>
        <w:t>号仓库之一（中心地理坐标为东经</w:t>
      </w:r>
      <w:r>
        <w:rPr>
          <w:color w:val="auto"/>
          <w:szCs w:val="24"/>
        </w:rPr>
        <w:t>110°57′21.385″</w:t>
      </w:r>
      <w:r>
        <w:rPr>
          <w:rFonts w:ascii="宋体" w:hAnsi="宋体"/>
          <w:color w:val="auto"/>
          <w:szCs w:val="24"/>
        </w:rPr>
        <w:t>，</w:t>
      </w:r>
      <w:r>
        <w:rPr>
          <w:rFonts w:hint="eastAsia" w:ascii="宋体" w:hAnsi="宋体" w:cs="宋体"/>
          <w:color w:val="auto"/>
          <w:szCs w:val="24"/>
        </w:rPr>
        <w:t>北纬</w:t>
      </w:r>
      <w:r>
        <w:rPr>
          <w:color w:val="auto"/>
          <w:szCs w:val="24"/>
        </w:rPr>
        <w:t>21°29′43.645″</w:t>
      </w:r>
      <w:r>
        <w:rPr>
          <w:rFonts w:ascii="宋体" w:hAnsi="宋体"/>
          <w:color w:val="auto"/>
          <w:szCs w:val="24"/>
        </w:rPr>
        <w:t>）</w:t>
      </w:r>
      <w:r>
        <w:rPr>
          <w:rFonts w:hint="eastAsia"/>
          <w:color w:val="auto"/>
        </w:rPr>
        <w:t>。</w:t>
      </w:r>
      <w:r>
        <w:rPr>
          <w:rFonts w:hint="eastAsia" w:ascii="宋体" w:hAnsi="宋体" w:cs="宋体"/>
          <w:color w:val="auto"/>
          <w:szCs w:val="24"/>
        </w:rPr>
        <w:t>项目</w:t>
      </w:r>
      <w:r>
        <w:rPr>
          <w:rFonts w:hint="eastAsia" w:ascii="宋体" w:hAnsi="宋体" w:cs="宋体"/>
          <w:color w:val="auto"/>
          <w:kern w:val="0"/>
          <w:szCs w:val="24"/>
        </w:rPr>
        <w:t>北面为茂名市电白区中都油脂有限公司、茂名市嘉润包装材料有限公司、皇铠门窗厂、喜鸿运电器有限公司，西面为</w:t>
      </w:r>
      <w:r>
        <w:rPr>
          <w:rFonts w:hint="eastAsia" w:ascii="宋体" w:hAnsi="宋体" w:cs="宋体"/>
          <w:color w:val="auto"/>
          <w:szCs w:val="24"/>
        </w:rPr>
        <w:t>茂名嘉里油脂有限公司</w:t>
      </w:r>
      <w:r>
        <w:rPr>
          <w:rFonts w:hint="eastAsia" w:ascii="宋体" w:hAnsi="宋体" w:cs="宋体"/>
          <w:color w:val="auto"/>
          <w:kern w:val="0"/>
          <w:szCs w:val="24"/>
        </w:rPr>
        <w:t>，南面为</w:t>
      </w:r>
      <w:r>
        <w:rPr>
          <w:rFonts w:hint="eastAsia" w:ascii="宋体" w:hAnsi="宋体" w:cs="宋体"/>
          <w:color w:val="auto"/>
          <w:szCs w:val="24"/>
        </w:rPr>
        <w:t>广东祥和玻璃科技有限公司</w:t>
      </w:r>
      <w:r>
        <w:rPr>
          <w:rFonts w:hint="eastAsia" w:ascii="宋体" w:hAnsi="宋体" w:cs="宋体"/>
          <w:color w:val="auto"/>
          <w:kern w:val="0"/>
          <w:szCs w:val="24"/>
        </w:rPr>
        <w:t>，东面为农田，东南面</w:t>
      </w:r>
      <w:r>
        <w:rPr>
          <w:rFonts w:hint="eastAsia"/>
          <w:color w:val="auto"/>
          <w:kern w:val="0"/>
          <w:szCs w:val="24"/>
        </w:rPr>
        <w:t>36m</w:t>
      </w:r>
      <w:r>
        <w:rPr>
          <w:rFonts w:hint="eastAsia" w:ascii="宋体" w:hAnsi="宋体" w:cs="宋体"/>
          <w:color w:val="auto"/>
          <w:kern w:val="0"/>
          <w:szCs w:val="24"/>
        </w:rPr>
        <w:t>处为高地精神康复医院</w:t>
      </w:r>
      <w:r>
        <w:rPr>
          <w:rFonts w:hint="eastAsia"/>
          <w:color w:val="auto"/>
        </w:rPr>
        <w:t>。</w:t>
      </w:r>
    </w:p>
    <w:p>
      <w:pPr>
        <w:tabs>
          <w:tab w:val="left" w:pos="2336"/>
        </w:tabs>
        <w:topLinePunct/>
        <w:autoSpaceDE w:val="0"/>
        <w:autoSpaceDN w:val="0"/>
        <w:adjustRightInd w:val="0"/>
        <w:snapToGrid w:val="0"/>
        <w:spacing w:line="240" w:lineRule="auto"/>
        <w:ind w:firstLine="0" w:firstLineChars="0"/>
        <w:jc w:val="center"/>
        <w:textAlignment w:val="baseline"/>
        <w:rPr>
          <w:rFonts w:cs="Times New Roman"/>
          <w:b/>
          <w:bCs/>
          <w:color w:val="auto"/>
          <w:kern w:val="24"/>
          <w:position w:val="-27"/>
          <w:sz w:val="21"/>
          <w:szCs w:val="21"/>
        </w:rPr>
      </w:pPr>
      <w:r>
        <w:rPr>
          <w:rFonts w:hint="eastAsia" w:cs="Times New Roman"/>
          <w:b/>
          <w:bCs/>
          <w:color w:val="auto"/>
          <w:kern w:val="24"/>
          <w:position w:val="-27"/>
          <w:sz w:val="21"/>
          <w:szCs w:val="21"/>
        </w:rPr>
        <w:t>表3.1-1  厂界外500m范围内大气环境保护目标一览表</w:t>
      </w:r>
    </w:p>
    <w:tbl>
      <w:tblPr>
        <w:tblStyle w:val="24"/>
        <w:tblW w:w="83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424"/>
        <w:gridCol w:w="931"/>
        <w:gridCol w:w="604"/>
        <w:gridCol w:w="605"/>
        <w:gridCol w:w="727"/>
        <w:gridCol w:w="966"/>
        <w:gridCol w:w="966"/>
        <w:gridCol w:w="847"/>
        <w:gridCol w:w="1123"/>
        <w:gridCol w:w="11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6" w:hRule="atLeast"/>
          <w:jc w:val="center"/>
        </w:trPr>
        <w:tc>
          <w:tcPr>
            <w:tcW w:w="424" w:type="dxa"/>
            <w:vMerge w:val="restart"/>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rPr>
                <w:rFonts w:cs="Times New Roman"/>
                <w:color w:val="auto"/>
                <w:sz w:val="21"/>
                <w:szCs w:val="21"/>
              </w:rPr>
            </w:pPr>
            <w:r>
              <w:rPr>
                <w:rFonts w:cs="Times New Roman"/>
                <w:color w:val="auto"/>
                <w:sz w:val="21"/>
                <w:szCs w:val="21"/>
              </w:rPr>
              <w:t>序号</w:t>
            </w:r>
          </w:p>
        </w:tc>
        <w:tc>
          <w:tcPr>
            <w:tcW w:w="931" w:type="dxa"/>
            <w:vMerge w:val="restart"/>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名称</w:t>
            </w:r>
          </w:p>
        </w:tc>
        <w:tc>
          <w:tcPr>
            <w:tcW w:w="1209" w:type="dxa"/>
            <w:gridSpan w:val="2"/>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坐标</w:t>
            </w:r>
          </w:p>
        </w:tc>
        <w:tc>
          <w:tcPr>
            <w:tcW w:w="727" w:type="dxa"/>
            <w:vMerge w:val="restart"/>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保护</w:t>
            </w:r>
          </w:p>
          <w:p>
            <w:pPr>
              <w:snapToGrid w:val="0"/>
              <w:spacing w:line="240" w:lineRule="auto"/>
              <w:ind w:firstLine="0" w:firstLineChars="0"/>
              <w:jc w:val="center"/>
              <w:rPr>
                <w:rFonts w:cs="Times New Roman"/>
                <w:color w:val="auto"/>
                <w:sz w:val="21"/>
                <w:szCs w:val="21"/>
              </w:rPr>
            </w:pPr>
            <w:r>
              <w:rPr>
                <w:rFonts w:cs="Times New Roman"/>
                <w:color w:val="auto"/>
                <w:sz w:val="21"/>
                <w:szCs w:val="21"/>
              </w:rPr>
              <w:t>对象</w:t>
            </w:r>
          </w:p>
        </w:tc>
        <w:tc>
          <w:tcPr>
            <w:tcW w:w="966" w:type="dxa"/>
            <w:vMerge w:val="restart"/>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保护内容</w:t>
            </w:r>
          </w:p>
        </w:tc>
        <w:tc>
          <w:tcPr>
            <w:tcW w:w="966" w:type="dxa"/>
            <w:vMerge w:val="restart"/>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环境功能区</w:t>
            </w:r>
          </w:p>
        </w:tc>
        <w:tc>
          <w:tcPr>
            <w:tcW w:w="847" w:type="dxa"/>
            <w:vMerge w:val="restart"/>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相对厂址方位</w:t>
            </w:r>
          </w:p>
        </w:tc>
        <w:tc>
          <w:tcPr>
            <w:tcW w:w="1123" w:type="dxa"/>
            <w:vMerge w:val="restart"/>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相对厂界距离/m</w:t>
            </w:r>
          </w:p>
        </w:tc>
        <w:tc>
          <w:tcPr>
            <w:tcW w:w="1123" w:type="dxa"/>
            <w:vMerge w:val="restart"/>
            <w:tcBorders>
              <w:top w:val="single" w:color="auto" w:sz="4" w:space="0"/>
              <w:left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变化情况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25" w:hRule="atLeast"/>
          <w:jc w:val="center"/>
        </w:trPr>
        <w:tc>
          <w:tcPr>
            <w:tcW w:w="424"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931"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604"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X</w:t>
            </w:r>
          </w:p>
        </w:tc>
        <w:tc>
          <w:tcPr>
            <w:tcW w:w="605"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Y</w:t>
            </w:r>
          </w:p>
        </w:tc>
        <w:tc>
          <w:tcPr>
            <w:tcW w:w="727"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966"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966"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847"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123"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123" w:type="dxa"/>
            <w:vMerge w:val="continue"/>
            <w:tcBorders>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29" w:hRule="atLeast"/>
          <w:jc w:val="center"/>
        </w:trPr>
        <w:tc>
          <w:tcPr>
            <w:tcW w:w="424"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1</w:t>
            </w:r>
          </w:p>
        </w:tc>
        <w:tc>
          <w:tcPr>
            <w:tcW w:w="931"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木苏村（项目东南侧）</w:t>
            </w:r>
          </w:p>
        </w:tc>
        <w:tc>
          <w:tcPr>
            <w:tcW w:w="604"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112</w:t>
            </w:r>
          </w:p>
        </w:tc>
        <w:tc>
          <w:tcPr>
            <w:tcW w:w="605"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-168</w:t>
            </w:r>
          </w:p>
        </w:tc>
        <w:tc>
          <w:tcPr>
            <w:tcW w:w="727"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居民区</w:t>
            </w:r>
          </w:p>
        </w:tc>
        <w:tc>
          <w:tcPr>
            <w:tcW w:w="966"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约1680人</w:t>
            </w:r>
          </w:p>
        </w:tc>
        <w:tc>
          <w:tcPr>
            <w:tcW w:w="966" w:type="dxa"/>
            <w:vMerge w:val="restart"/>
            <w:tcBorders>
              <w:top w:val="single" w:color="auto" w:sz="4" w:space="0"/>
              <w:left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环境二类功能区</w:t>
            </w:r>
          </w:p>
        </w:tc>
        <w:tc>
          <w:tcPr>
            <w:tcW w:w="847"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东南</w:t>
            </w:r>
          </w:p>
        </w:tc>
        <w:tc>
          <w:tcPr>
            <w:tcW w:w="1123"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134</w:t>
            </w:r>
          </w:p>
        </w:tc>
        <w:tc>
          <w:tcPr>
            <w:tcW w:w="1123" w:type="dxa"/>
            <w:vMerge w:val="restart"/>
            <w:tcBorders>
              <w:top w:val="single" w:color="auto" w:sz="4" w:space="0"/>
              <w:left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21" w:hRule="atLeast"/>
          <w:jc w:val="center"/>
        </w:trPr>
        <w:tc>
          <w:tcPr>
            <w:tcW w:w="424"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2</w:t>
            </w:r>
          </w:p>
        </w:tc>
        <w:tc>
          <w:tcPr>
            <w:tcW w:w="931"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木苏村（项目东北侧）</w:t>
            </w:r>
          </w:p>
        </w:tc>
        <w:tc>
          <w:tcPr>
            <w:tcW w:w="604"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470</w:t>
            </w:r>
          </w:p>
        </w:tc>
        <w:tc>
          <w:tcPr>
            <w:tcW w:w="605"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130</w:t>
            </w:r>
          </w:p>
        </w:tc>
        <w:tc>
          <w:tcPr>
            <w:tcW w:w="727"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居民区</w:t>
            </w:r>
          </w:p>
        </w:tc>
        <w:tc>
          <w:tcPr>
            <w:tcW w:w="966"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约360人</w:t>
            </w:r>
          </w:p>
        </w:tc>
        <w:tc>
          <w:tcPr>
            <w:tcW w:w="966" w:type="dxa"/>
            <w:vMerge w:val="continue"/>
            <w:tcBorders>
              <w:left w:val="single" w:color="auto" w:sz="4" w:space="0"/>
              <w:right w:val="single" w:color="auto" w:sz="4" w:space="0"/>
            </w:tcBorders>
            <w:vAlign w:val="center"/>
          </w:tcPr>
          <w:p>
            <w:pPr>
              <w:snapToGrid w:val="0"/>
              <w:spacing w:line="240" w:lineRule="auto"/>
              <w:ind w:firstLine="420"/>
              <w:jc w:val="center"/>
              <w:rPr>
                <w:rFonts w:cs="Times New Roman"/>
                <w:color w:val="auto"/>
                <w:sz w:val="21"/>
                <w:szCs w:val="21"/>
              </w:rPr>
            </w:pPr>
          </w:p>
        </w:tc>
        <w:tc>
          <w:tcPr>
            <w:tcW w:w="847"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东北</w:t>
            </w:r>
          </w:p>
        </w:tc>
        <w:tc>
          <w:tcPr>
            <w:tcW w:w="1123"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445</w:t>
            </w:r>
          </w:p>
        </w:tc>
        <w:tc>
          <w:tcPr>
            <w:tcW w:w="1123" w:type="dxa"/>
            <w:vMerge w:val="continue"/>
            <w:tcBorders>
              <w:left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98" w:hRule="atLeast"/>
          <w:jc w:val="center"/>
        </w:trPr>
        <w:tc>
          <w:tcPr>
            <w:tcW w:w="424"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3</w:t>
            </w:r>
          </w:p>
        </w:tc>
        <w:tc>
          <w:tcPr>
            <w:tcW w:w="931"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新洲村（项目北侧）</w:t>
            </w:r>
          </w:p>
        </w:tc>
        <w:tc>
          <w:tcPr>
            <w:tcW w:w="604"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49</w:t>
            </w:r>
          </w:p>
        </w:tc>
        <w:tc>
          <w:tcPr>
            <w:tcW w:w="605"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437</w:t>
            </w:r>
          </w:p>
        </w:tc>
        <w:tc>
          <w:tcPr>
            <w:tcW w:w="727"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居民区</w:t>
            </w:r>
          </w:p>
        </w:tc>
        <w:tc>
          <w:tcPr>
            <w:tcW w:w="966"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约72人</w:t>
            </w:r>
          </w:p>
        </w:tc>
        <w:tc>
          <w:tcPr>
            <w:tcW w:w="966" w:type="dxa"/>
            <w:vMerge w:val="continue"/>
            <w:tcBorders>
              <w:left w:val="single" w:color="auto" w:sz="4" w:space="0"/>
              <w:right w:val="single" w:color="auto" w:sz="4" w:space="0"/>
            </w:tcBorders>
            <w:vAlign w:val="center"/>
          </w:tcPr>
          <w:p>
            <w:pPr>
              <w:snapToGrid w:val="0"/>
              <w:spacing w:line="240" w:lineRule="auto"/>
              <w:ind w:firstLine="420"/>
              <w:jc w:val="center"/>
              <w:rPr>
                <w:rFonts w:cs="Times New Roman"/>
                <w:color w:val="auto"/>
                <w:sz w:val="21"/>
                <w:szCs w:val="21"/>
              </w:rPr>
            </w:pPr>
          </w:p>
        </w:tc>
        <w:tc>
          <w:tcPr>
            <w:tcW w:w="847"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北</w:t>
            </w:r>
          </w:p>
        </w:tc>
        <w:tc>
          <w:tcPr>
            <w:tcW w:w="1123"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441</w:t>
            </w:r>
          </w:p>
        </w:tc>
        <w:tc>
          <w:tcPr>
            <w:tcW w:w="1123" w:type="dxa"/>
            <w:vMerge w:val="continue"/>
            <w:tcBorders>
              <w:left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18" w:hRule="atLeast"/>
          <w:jc w:val="center"/>
        </w:trPr>
        <w:tc>
          <w:tcPr>
            <w:tcW w:w="424"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4</w:t>
            </w:r>
          </w:p>
        </w:tc>
        <w:tc>
          <w:tcPr>
            <w:tcW w:w="931"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新洲村（项目西北侧）</w:t>
            </w:r>
          </w:p>
        </w:tc>
        <w:tc>
          <w:tcPr>
            <w:tcW w:w="604"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-381</w:t>
            </w:r>
          </w:p>
        </w:tc>
        <w:tc>
          <w:tcPr>
            <w:tcW w:w="605"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253</w:t>
            </w:r>
          </w:p>
        </w:tc>
        <w:tc>
          <w:tcPr>
            <w:tcW w:w="727"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居民区</w:t>
            </w:r>
          </w:p>
        </w:tc>
        <w:tc>
          <w:tcPr>
            <w:tcW w:w="966"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约66人</w:t>
            </w:r>
          </w:p>
        </w:tc>
        <w:tc>
          <w:tcPr>
            <w:tcW w:w="966" w:type="dxa"/>
            <w:vMerge w:val="continue"/>
            <w:tcBorders>
              <w:left w:val="single" w:color="auto" w:sz="4" w:space="0"/>
              <w:right w:val="single" w:color="auto" w:sz="4" w:space="0"/>
            </w:tcBorders>
            <w:vAlign w:val="center"/>
          </w:tcPr>
          <w:p>
            <w:pPr>
              <w:snapToGrid w:val="0"/>
              <w:spacing w:line="240" w:lineRule="auto"/>
              <w:ind w:firstLine="420"/>
              <w:jc w:val="center"/>
              <w:rPr>
                <w:rFonts w:cs="Times New Roman"/>
                <w:color w:val="auto"/>
                <w:sz w:val="21"/>
                <w:szCs w:val="21"/>
              </w:rPr>
            </w:pPr>
          </w:p>
        </w:tc>
        <w:tc>
          <w:tcPr>
            <w:tcW w:w="847"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西北</w:t>
            </w:r>
          </w:p>
        </w:tc>
        <w:tc>
          <w:tcPr>
            <w:tcW w:w="1123"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356</w:t>
            </w:r>
          </w:p>
        </w:tc>
        <w:tc>
          <w:tcPr>
            <w:tcW w:w="1123" w:type="dxa"/>
            <w:vMerge w:val="continue"/>
            <w:tcBorders>
              <w:left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11" w:hRule="atLeast"/>
          <w:jc w:val="center"/>
        </w:trPr>
        <w:tc>
          <w:tcPr>
            <w:tcW w:w="424"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5</w:t>
            </w:r>
          </w:p>
        </w:tc>
        <w:tc>
          <w:tcPr>
            <w:tcW w:w="931"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电白沙院镇政府</w:t>
            </w:r>
          </w:p>
        </w:tc>
        <w:tc>
          <w:tcPr>
            <w:tcW w:w="604"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18</w:t>
            </w:r>
          </w:p>
        </w:tc>
        <w:tc>
          <w:tcPr>
            <w:tcW w:w="605"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-168</w:t>
            </w:r>
          </w:p>
        </w:tc>
        <w:tc>
          <w:tcPr>
            <w:tcW w:w="727"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居民区</w:t>
            </w:r>
          </w:p>
        </w:tc>
        <w:tc>
          <w:tcPr>
            <w:tcW w:w="966"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约300人</w:t>
            </w:r>
          </w:p>
        </w:tc>
        <w:tc>
          <w:tcPr>
            <w:tcW w:w="966" w:type="dxa"/>
            <w:vMerge w:val="continue"/>
            <w:tcBorders>
              <w:left w:val="single" w:color="auto" w:sz="4" w:space="0"/>
              <w:right w:val="single" w:color="auto" w:sz="4" w:space="0"/>
            </w:tcBorders>
            <w:vAlign w:val="center"/>
          </w:tcPr>
          <w:p>
            <w:pPr>
              <w:snapToGrid w:val="0"/>
              <w:spacing w:line="240" w:lineRule="auto"/>
              <w:ind w:firstLine="420"/>
              <w:jc w:val="center"/>
              <w:rPr>
                <w:rFonts w:cs="Times New Roman"/>
                <w:color w:val="auto"/>
                <w:sz w:val="21"/>
                <w:szCs w:val="21"/>
              </w:rPr>
            </w:pPr>
          </w:p>
        </w:tc>
        <w:tc>
          <w:tcPr>
            <w:tcW w:w="847"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南</w:t>
            </w:r>
          </w:p>
        </w:tc>
        <w:tc>
          <w:tcPr>
            <w:tcW w:w="1123"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130</w:t>
            </w:r>
          </w:p>
        </w:tc>
        <w:tc>
          <w:tcPr>
            <w:tcW w:w="1123" w:type="dxa"/>
            <w:vMerge w:val="continue"/>
            <w:tcBorders>
              <w:left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17" w:hRule="atLeast"/>
          <w:jc w:val="center"/>
        </w:trPr>
        <w:tc>
          <w:tcPr>
            <w:tcW w:w="424"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6</w:t>
            </w:r>
          </w:p>
        </w:tc>
        <w:tc>
          <w:tcPr>
            <w:tcW w:w="931"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高地精神康复医院</w:t>
            </w:r>
          </w:p>
        </w:tc>
        <w:tc>
          <w:tcPr>
            <w:tcW w:w="604"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112</w:t>
            </w:r>
          </w:p>
        </w:tc>
        <w:tc>
          <w:tcPr>
            <w:tcW w:w="605"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-56</w:t>
            </w:r>
          </w:p>
        </w:tc>
        <w:tc>
          <w:tcPr>
            <w:tcW w:w="727"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医院</w:t>
            </w:r>
          </w:p>
        </w:tc>
        <w:tc>
          <w:tcPr>
            <w:tcW w:w="966"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约100人</w:t>
            </w:r>
          </w:p>
        </w:tc>
        <w:tc>
          <w:tcPr>
            <w:tcW w:w="966" w:type="dxa"/>
            <w:vMerge w:val="continue"/>
            <w:tcBorders>
              <w:left w:val="single" w:color="auto" w:sz="4" w:space="0"/>
              <w:right w:val="single" w:color="auto" w:sz="4" w:space="0"/>
            </w:tcBorders>
            <w:vAlign w:val="center"/>
          </w:tcPr>
          <w:p>
            <w:pPr>
              <w:snapToGrid w:val="0"/>
              <w:spacing w:line="240" w:lineRule="auto"/>
              <w:ind w:firstLine="420"/>
              <w:jc w:val="center"/>
              <w:rPr>
                <w:rFonts w:cs="Times New Roman"/>
                <w:color w:val="auto"/>
                <w:sz w:val="21"/>
                <w:szCs w:val="21"/>
              </w:rPr>
            </w:pPr>
          </w:p>
        </w:tc>
        <w:tc>
          <w:tcPr>
            <w:tcW w:w="847"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东南</w:t>
            </w:r>
          </w:p>
        </w:tc>
        <w:tc>
          <w:tcPr>
            <w:tcW w:w="1123"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r>
              <w:rPr>
                <w:rFonts w:cs="Times New Roman"/>
                <w:color w:val="auto"/>
                <w:sz w:val="21"/>
                <w:szCs w:val="21"/>
              </w:rPr>
              <w:t>36</w:t>
            </w:r>
          </w:p>
        </w:tc>
        <w:tc>
          <w:tcPr>
            <w:tcW w:w="1123" w:type="dxa"/>
            <w:vMerge w:val="continue"/>
            <w:tcBorders>
              <w:left w:val="single" w:color="auto" w:sz="4" w:space="0"/>
              <w:right w:val="single" w:color="auto" w:sz="4" w:space="0"/>
            </w:tcBorders>
            <w:vAlign w:val="center"/>
          </w:tcPr>
          <w:p>
            <w:pPr>
              <w:snapToGrid w:val="0"/>
              <w:spacing w:line="240" w:lineRule="auto"/>
              <w:ind w:firstLine="0" w:firstLineChars="0"/>
              <w:jc w:val="center"/>
              <w:rPr>
                <w:rFonts w:cs="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774" w:hRule="atLeast"/>
          <w:jc w:val="center"/>
        </w:trPr>
        <w:tc>
          <w:tcPr>
            <w:tcW w:w="8316" w:type="dxa"/>
            <w:gridSpan w:val="10"/>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rPr>
                <w:rFonts w:cs="Times New Roman"/>
                <w:color w:val="auto"/>
                <w:sz w:val="21"/>
                <w:szCs w:val="21"/>
              </w:rPr>
            </w:pPr>
            <w:r>
              <w:rPr>
                <w:rFonts w:cs="Times New Roman"/>
                <w:color w:val="auto"/>
                <w:sz w:val="21"/>
                <w:szCs w:val="21"/>
              </w:rPr>
              <w:t>备注：以项目中心位置为原点（0,0）（110°57′21.385″E，21°29′43.645″N），以正东方向为X轴正方向，正北方为Y轴正方向</w:t>
            </w:r>
          </w:p>
        </w:tc>
      </w:tr>
    </w:tbl>
    <w:p>
      <w:pPr>
        <w:ind w:firstLine="480"/>
        <w:rPr>
          <w:color w:val="auto"/>
        </w:rPr>
      </w:pPr>
      <w:r>
        <w:rPr>
          <w:rFonts w:hint="eastAsia"/>
          <w:color w:val="auto"/>
        </w:rPr>
        <w:t>项目地理位置图见图3-1，项目四至图见图3-2，项目平面布置图见图3-</w:t>
      </w:r>
      <w:r>
        <w:rPr>
          <w:color w:val="auto"/>
        </w:rPr>
        <w:t>3</w:t>
      </w:r>
      <w:r>
        <w:rPr>
          <w:rFonts w:hint="eastAsia"/>
          <w:color w:val="auto"/>
        </w:rPr>
        <w:t>，环境保护目标见图3-4。</w:t>
      </w:r>
    </w:p>
    <w:p>
      <w:pPr>
        <w:tabs>
          <w:tab w:val="left" w:pos="2680"/>
        </w:tabs>
        <w:ind w:firstLine="480"/>
        <w:rPr>
          <w:color w:val="auto"/>
          <w:highlight w:val="yellow"/>
        </w:rPr>
        <w:sectPr>
          <w:pgSz w:w="11906" w:h="16838"/>
          <w:pgMar w:top="1440" w:right="1800" w:bottom="1440" w:left="1800" w:header="851" w:footer="992" w:gutter="0"/>
          <w:pgNumType w:start="1"/>
          <w:cols w:space="425" w:num="1"/>
          <w:docGrid w:type="lines" w:linePitch="312" w:charSpace="0"/>
        </w:sectPr>
      </w:pPr>
    </w:p>
    <w:p>
      <w:pPr>
        <w:spacing w:line="240" w:lineRule="auto"/>
        <w:ind w:firstLine="480" w:firstLineChars="0"/>
        <w:rPr>
          <w:rFonts w:cs="Times New Roman"/>
          <w:color w:val="auto"/>
          <w:sz w:val="21"/>
          <w:szCs w:val="21"/>
        </w:rPr>
      </w:pPr>
      <w:r>
        <w:rPr>
          <w:rFonts w:cs="Times New Roman"/>
          <w:color w:val="auto"/>
          <w:sz w:val="21"/>
          <w:szCs w:val="21"/>
        </w:rPr>
        <w:drawing>
          <wp:inline distT="0" distB="0" distL="0" distR="0">
            <wp:extent cx="8349615" cy="5334000"/>
            <wp:effectExtent l="0" t="0" r="0" b="0"/>
            <wp:docPr id="21010504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050485" name="图片 1"/>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8353302" cy="5335989"/>
                    </a:xfrm>
                    <a:prstGeom prst="rect">
                      <a:avLst/>
                    </a:prstGeom>
                  </pic:spPr>
                </pic:pic>
              </a:graphicData>
            </a:graphic>
          </wp:inline>
        </w:drawing>
      </w:r>
    </w:p>
    <w:p>
      <w:pPr>
        <w:pStyle w:val="35"/>
        <w:rPr>
          <w:color w:val="auto"/>
        </w:rPr>
      </w:pPr>
      <w:r>
        <w:rPr>
          <w:rFonts w:hint="eastAsia"/>
          <w:color w:val="auto"/>
        </w:rPr>
        <w:t>图3-1</w:t>
      </w:r>
      <w:r>
        <w:rPr>
          <w:color w:val="auto"/>
        </w:rPr>
        <w:t xml:space="preserve"> </w:t>
      </w:r>
      <w:r>
        <w:rPr>
          <w:rFonts w:hint="eastAsia"/>
          <w:color w:val="auto"/>
        </w:rPr>
        <w:t>地理位置图</w:t>
      </w:r>
    </w:p>
    <w:p>
      <w:pPr>
        <w:pStyle w:val="33"/>
        <w:rPr>
          <w:color w:val="auto"/>
          <w:highlight w:val="yellow"/>
        </w:rPr>
      </w:pPr>
      <w:r>
        <w:rPr>
          <w:color w:val="auto"/>
        </w:rPr>
        <w:drawing>
          <wp:inline distT="0" distB="0" distL="0" distR="0">
            <wp:extent cx="8541385" cy="5229225"/>
            <wp:effectExtent l="0" t="0" r="12065" b="9525"/>
            <wp:docPr id="68586485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864852" name="图片 2"/>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a:xfrm>
                      <a:off x="0" y="0"/>
                      <a:ext cx="8542857" cy="5229828"/>
                    </a:xfrm>
                    <a:prstGeom prst="rect">
                      <a:avLst/>
                    </a:prstGeom>
                    <a:ln>
                      <a:noFill/>
                    </a:ln>
                  </pic:spPr>
                </pic:pic>
              </a:graphicData>
            </a:graphic>
          </wp:inline>
        </w:drawing>
      </w:r>
    </w:p>
    <w:p>
      <w:pPr>
        <w:pStyle w:val="37"/>
        <w:rPr>
          <w:color w:val="auto"/>
        </w:rPr>
      </w:pPr>
      <w:r>
        <w:rPr>
          <w:rFonts w:hint="eastAsia"/>
          <w:color w:val="auto"/>
        </w:rPr>
        <w:t>图3-2</w:t>
      </w:r>
      <w:r>
        <w:rPr>
          <w:color w:val="auto"/>
        </w:rPr>
        <w:t xml:space="preserve"> </w:t>
      </w:r>
      <w:r>
        <w:rPr>
          <w:rFonts w:hint="eastAsia"/>
          <w:color w:val="auto"/>
        </w:rPr>
        <w:t>项目四至图</w:t>
      </w:r>
    </w:p>
    <w:p>
      <w:pPr>
        <w:pStyle w:val="33"/>
        <w:jc w:val="both"/>
        <w:rPr>
          <w:color w:val="auto"/>
          <w:highlight w:val="yellow"/>
        </w:rPr>
        <w:sectPr>
          <w:pgSz w:w="16838" w:h="11906" w:orient="landscape"/>
          <w:pgMar w:top="1474" w:right="1418" w:bottom="1474" w:left="1418" w:header="851" w:footer="907" w:gutter="0"/>
          <w:cols w:space="425" w:num="1"/>
          <w:docGrid w:type="lines" w:linePitch="326" w:charSpace="0"/>
        </w:sectPr>
      </w:pPr>
    </w:p>
    <w:p>
      <w:pPr>
        <w:spacing w:line="240" w:lineRule="auto"/>
        <w:ind w:firstLine="0" w:firstLineChars="0"/>
        <w:rPr>
          <w:rFonts w:cs="Times New Roman"/>
          <w:color w:val="auto"/>
          <w:sz w:val="21"/>
          <w:szCs w:val="21"/>
        </w:rPr>
      </w:pPr>
      <w:r>
        <w:rPr>
          <w:rFonts w:hint="eastAsia" w:cs="Times New Roman"/>
          <w:color w:val="auto"/>
          <w:sz w:val="21"/>
          <w:szCs w:val="21"/>
        </w:rPr>
        <w:drawing>
          <wp:inline distT="0" distB="0" distL="114300" distR="114300">
            <wp:extent cx="9671050" cy="4477385"/>
            <wp:effectExtent l="0" t="0" r="1270" b="2540"/>
            <wp:docPr id="3" name="图片 3" descr="微信图片_20251226231351_18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微信图片_20251226231351_18_2"/>
                    <pic:cNvPicPr>
                      <a:picLocks noChangeAspect="1"/>
                    </pic:cNvPicPr>
                  </pic:nvPicPr>
                  <pic:blipFill>
                    <a:blip r:embed="rId14"/>
                    <a:stretch>
                      <a:fillRect/>
                    </a:stretch>
                  </pic:blipFill>
                  <pic:spPr>
                    <a:xfrm>
                      <a:off x="0" y="0"/>
                      <a:ext cx="9671050" cy="4477385"/>
                    </a:xfrm>
                    <a:prstGeom prst="rect">
                      <a:avLst/>
                    </a:prstGeom>
                  </pic:spPr>
                </pic:pic>
              </a:graphicData>
            </a:graphic>
          </wp:inline>
        </w:drawing>
      </w:r>
    </w:p>
    <w:p>
      <w:pPr>
        <w:pStyle w:val="35"/>
        <w:rPr>
          <w:color w:val="auto"/>
        </w:rPr>
      </w:pPr>
      <w:r>
        <w:rPr>
          <w:rFonts w:hint="eastAsia"/>
          <w:color w:val="auto"/>
        </w:rPr>
        <w:t>图3-</w:t>
      </w:r>
      <w:r>
        <w:rPr>
          <w:color w:val="auto"/>
        </w:rPr>
        <w:t xml:space="preserve">3 </w:t>
      </w:r>
      <w:r>
        <w:rPr>
          <w:rFonts w:hint="eastAsia"/>
          <w:color w:val="auto"/>
        </w:rPr>
        <w:t>项目平面布置图</w:t>
      </w:r>
    </w:p>
    <w:p>
      <w:pPr>
        <w:pStyle w:val="35"/>
        <w:rPr>
          <w:color w:val="auto"/>
        </w:rPr>
        <w:sectPr>
          <w:pgSz w:w="16838" w:h="11906" w:orient="landscape"/>
          <w:pgMar w:top="1474" w:right="1418" w:bottom="1474" w:left="1418" w:header="851" w:footer="907" w:gutter="0"/>
          <w:cols w:space="425" w:num="1"/>
          <w:docGrid w:type="lines" w:linePitch="326" w:charSpace="0"/>
        </w:sectPr>
      </w:pPr>
    </w:p>
    <w:p>
      <w:pPr>
        <w:spacing w:line="240" w:lineRule="auto"/>
        <w:ind w:firstLine="480" w:firstLineChars="0"/>
        <w:jc w:val="center"/>
        <w:rPr>
          <w:rFonts w:cs="Times New Roman"/>
          <w:color w:val="auto"/>
          <w:sz w:val="21"/>
          <w:szCs w:val="21"/>
        </w:rPr>
      </w:pPr>
      <w:r>
        <w:rPr>
          <w:color w:val="auto"/>
          <w:sz w:val="21"/>
          <w:szCs w:val="21"/>
        </w:rPr>
        <w:drawing>
          <wp:inline distT="0" distB="0" distL="114300" distR="114300">
            <wp:extent cx="6703060" cy="5363210"/>
            <wp:effectExtent l="0" t="0" r="635" b="1905"/>
            <wp:docPr id="5" name="图片 1" descr="富临门500m敏感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富临门500m敏感点"/>
                    <pic:cNvPicPr>
                      <a:picLocks noChangeAspect="1"/>
                    </pic:cNvPicPr>
                  </pic:nvPicPr>
                  <pic:blipFill>
                    <a:blip r:embed="rId15"/>
                    <a:stretch>
                      <a:fillRect/>
                    </a:stretch>
                  </pic:blipFill>
                  <pic:spPr>
                    <a:xfrm>
                      <a:off x="0" y="0"/>
                      <a:ext cx="6703060" cy="5363210"/>
                    </a:xfrm>
                    <a:prstGeom prst="rect">
                      <a:avLst/>
                    </a:prstGeom>
                    <a:noFill/>
                    <a:ln>
                      <a:noFill/>
                    </a:ln>
                  </pic:spPr>
                </pic:pic>
              </a:graphicData>
            </a:graphic>
          </wp:inline>
        </w:drawing>
      </w:r>
    </w:p>
    <w:p>
      <w:pPr>
        <w:pStyle w:val="35"/>
        <w:rPr>
          <w:color w:val="auto"/>
        </w:rPr>
      </w:pPr>
      <w:r>
        <w:rPr>
          <w:rFonts w:hint="eastAsia"/>
          <w:color w:val="auto"/>
        </w:rPr>
        <w:t>图3-4</w:t>
      </w:r>
      <w:r>
        <w:rPr>
          <w:color w:val="auto"/>
        </w:rPr>
        <w:t xml:space="preserve"> </w:t>
      </w:r>
      <w:r>
        <w:rPr>
          <w:rFonts w:hint="eastAsia"/>
          <w:color w:val="auto"/>
        </w:rPr>
        <w:t>环境500m敏感点风险受体图</w:t>
      </w:r>
    </w:p>
    <w:p>
      <w:pPr>
        <w:pStyle w:val="35"/>
        <w:rPr>
          <w:color w:val="auto"/>
        </w:rPr>
        <w:sectPr>
          <w:pgSz w:w="16838" w:h="11906" w:orient="landscape"/>
          <w:pgMar w:top="1440" w:right="1080" w:bottom="1440" w:left="1080" w:header="851" w:footer="907" w:gutter="0"/>
          <w:cols w:space="425" w:num="1"/>
          <w:docGrid w:type="lines" w:linePitch="326" w:charSpace="0"/>
        </w:sectPr>
      </w:pPr>
    </w:p>
    <w:p>
      <w:pPr>
        <w:pStyle w:val="3"/>
        <w:numPr>
          <w:ilvl w:val="1"/>
          <w:numId w:val="0"/>
        </w:numPr>
        <w:rPr>
          <w:color w:val="auto"/>
        </w:rPr>
      </w:pPr>
      <w:bookmarkStart w:id="14" w:name="_Toc24031"/>
      <w:r>
        <w:rPr>
          <w:rFonts w:hint="eastAsia"/>
          <w:color w:val="auto"/>
        </w:rPr>
        <w:t>3.2建设内容</w:t>
      </w:r>
      <w:bookmarkEnd w:id="14"/>
    </w:p>
    <w:p>
      <w:pPr>
        <w:ind w:firstLine="480"/>
        <w:rPr>
          <w:color w:val="auto"/>
        </w:rPr>
      </w:pPr>
      <w:r>
        <w:rPr>
          <w:rFonts w:hint="eastAsia"/>
          <w:color w:val="auto"/>
        </w:rPr>
        <w:t>本项目工程建设内容组成详见</w:t>
      </w:r>
      <w:r>
        <w:rPr>
          <w:color w:val="auto"/>
        </w:rPr>
        <w:fldChar w:fldCharType="begin"/>
      </w:r>
      <w:r>
        <w:rPr>
          <w:color w:val="auto"/>
        </w:rPr>
        <w:instrText xml:space="preserve"> </w:instrText>
      </w:r>
      <w:r>
        <w:rPr>
          <w:rFonts w:hint="eastAsia"/>
          <w:color w:val="auto"/>
        </w:rPr>
        <w:instrText xml:space="preserve">REF _Ref102980699 \h</w:instrText>
      </w:r>
      <w:r>
        <w:rPr>
          <w:color w:val="auto"/>
        </w:rPr>
        <w:instrText xml:space="preserve">  \* MERGEFORMAT </w:instrText>
      </w:r>
      <w:r>
        <w:rPr>
          <w:color w:val="auto"/>
        </w:rPr>
        <w:fldChar w:fldCharType="separate"/>
      </w:r>
      <w:r>
        <w:rPr>
          <w:rFonts w:hint="eastAsia"/>
          <w:color w:val="auto"/>
        </w:rPr>
        <w:t>表 3</w:t>
      </w:r>
      <w:r>
        <w:rPr>
          <w:color w:val="auto"/>
        </w:rPr>
        <w:t>.2</w:t>
      </w:r>
      <w:r>
        <w:rPr>
          <w:color w:val="auto"/>
        </w:rPr>
        <w:noBreakHyphen/>
      </w:r>
      <w:r>
        <w:rPr>
          <w:color w:val="auto"/>
        </w:rPr>
        <w:t>1</w:t>
      </w:r>
      <w:r>
        <w:rPr>
          <w:color w:val="auto"/>
        </w:rPr>
        <w:fldChar w:fldCharType="end"/>
      </w:r>
      <w:r>
        <w:rPr>
          <w:rFonts w:hint="eastAsia"/>
          <w:color w:val="auto"/>
        </w:rPr>
        <w:t>，主要设备见</w:t>
      </w:r>
      <w:r>
        <w:rPr>
          <w:color w:val="auto"/>
        </w:rPr>
        <w:fldChar w:fldCharType="begin"/>
      </w:r>
      <w:r>
        <w:rPr>
          <w:color w:val="auto"/>
        </w:rPr>
        <w:instrText xml:space="preserve"> </w:instrText>
      </w:r>
      <w:r>
        <w:rPr>
          <w:rFonts w:hint="eastAsia"/>
          <w:color w:val="auto"/>
        </w:rPr>
        <w:instrText xml:space="preserve">REF _Ref102980718 \h</w:instrText>
      </w:r>
      <w:r>
        <w:rPr>
          <w:color w:val="auto"/>
        </w:rPr>
        <w:instrText xml:space="preserve">  \* MERGEFORMAT </w:instrText>
      </w:r>
      <w:r>
        <w:rPr>
          <w:color w:val="auto"/>
        </w:rPr>
        <w:fldChar w:fldCharType="separate"/>
      </w:r>
      <w:r>
        <w:rPr>
          <w:rFonts w:hint="eastAsia"/>
          <w:color w:val="auto"/>
        </w:rPr>
        <w:t>表3</w:t>
      </w:r>
      <w:r>
        <w:rPr>
          <w:color w:val="auto"/>
        </w:rPr>
        <w:t>.2</w:t>
      </w:r>
      <w:r>
        <w:rPr>
          <w:color w:val="auto"/>
        </w:rPr>
        <w:noBreakHyphen/>
      </w:r>
      <w:r>
        <w:rPr>
          <w:color w:val="auto"/>
        </w:rPr>
        <w:t>2</w:t>
      </w:r>
      <w:r>
        <w:rPr>
          <w:color w:val="auto"/>
        </w:rPr>
        <w:fldChar w:fldCharType="end"/>
      </w:r>
      <w:r>
        <w:rPr>
          <w:rFonts w:hint="eastAsia"/>
          <w:color w:val="auto"/>
        </w:rPr>
        <w:t>。</w:t>
      </w:r>
    </w:p>
    <w:p>
      <w:pPr>
        <w:pStyle w:val="37"/>
        <w:rPr>
          <w:color w:val="auto"/>
        </w:rPr>
      </w:pPr>
      <w:bookmarkStart w:id="15" w:name="_Ref102980699"/>
      <w:r>
        <w:rPr>
          <w:rFonts w:hint="eastAsia"/>
          <w:color w:val="auto"/>
        </w:rPr>
        <w:t xml:space="preserve">表 </w:t>
      </w:r>
      <w:r>
        <w:rPr>
          <w:color w:val="auto"/>
        </w:rPr>
        <w:fldChar w:fldCharType="begin"/>
      </w:r>
      <w:r>
        <w:rPr>
          <w:color w:val="auto"/>
        </w:rPr>
        <w:instrText xml:space="preserve"> </w:instrText>
      </w:r>
      <w:r>
        <w:rPr>
          <w:rFonts w:hint="eastAsia"/>
          <w:color w:val="auto"/>
        </w:rPr>
        <w:instrText xml:space="preserve">STYLEREF 2 \s</w:instrText>
      </w:r>
      <w:r>
        <w:rPr>
          <w:color w:val="auto"/>
        </w:rPr>
        <w:instrText xml:space="preserve"> </w:instrText>
      </w:r>
      <w:r>
        <w:rPr>
          <w:color w:val="auto"/>
        </w:rPr>
        <w:fldChar w:fldCharType="separate"/>
      </w:r>
      <w:r>
        <w:rPr>
          <w:rFonts w:hint="eastAsia"/>
          <w:color w:val="auto"/>
        </w:rPr>
        <w:t>3</w:t>
      </w:r>
      <w:r>
        <w:rPr>
          <w:color w:val="auto"/>
        </w:rPr>
        <w:t>.2</w:t>
      </w:r>
      <w:r>
        <w:rPr>
          <w:color w:val="auto"/>
        </w:rPr>
        <w:fldChar w:fldCharType="end"/>
      </w:r>
      <w:r>
        <w:rPr>
          <w:color w:val="auto"/>
        </w:rPr>
        <w:noBreakHyphen/>
      </w:r>
      <w:r>
        <w:rPr>
          <w:color w:val="auto"/>
        </w:rPr>
        <w:fldChar w:fldCharType="begin"/>
      </w:r>
      <w:r>
        <w:rPr>
          <w:color w:val="auto"/>
        </w:rPr>
        <w:instrText xml:space="preserve"> </w:instrText>
      </w:r>
      <w:r>
        <w:rPr>
          <w:rFonts w:hint="eastAsia"/>
          <w:color w:val="auto"/>
        </w:rPr>
        <w:instrText xml:space="preserve">SEQ 表 \* ARABIC \s 2</w:instrText>
      </w:r>
      <w:r>
        <w:rPr>
          <w:color w:val="auto"/>
        </w:rPr>
        <w:instrText xml:space="preserve"> </w:instrText>
      </w:r>
      <w:r>
        <w:rPr>
          <w:color w:val="auto"/>
        </w:rPr>
        <w:fldChar w:fldCharType="separate"/>
      </w:r>
      <w:r>
        <w:rPr>
          <w:color w:val="auto"/>
        </w:rPr>
        <w:t>1</w:t>
      </w:r>
      <w:r>
        <w:rPr>
          <w:color w:val="auto"/>
        </w:rPr>
        <w:fldChar w:fldCharType="end"/>
      </w:r>
      <w:bookmarkEnd w:id="15"/>
      <w:r>
        <w:rPr>
          <w:color w:val="auto"/>
        </w:rPr>
        <w:t xml:space="preserve"> </w:t>
      </w:r>
      <w:r>
        <w:rPr>
          <w:rFonts w:hint="eastAsia"/>
          <w:color w:val="auto"/>
        </w:rPr>
        <w:t>本项目主要建设内容组成一览表</w:t>
      </w:r>
    </w:p>
    <w:tbl>
      <w:tblPr>
        <w:tblStyle w:val="24"/>
        <w:tblW w:w="864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470"/>
        <w:gridCol w:w="1129"/>
        <w:gridCol w:w="3143"/>
        <w:gridCol w:w="2964"/>
        <w:gridCol w:w="9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90" w:hRule="atLeast"/>
          <w:jc w:val="center"/>
        </w:trPr>
        <w:tc>
          <w:tcPr>
            <w:tcW w:w="1599" w:type="dxa"/>
            <w:gridSpan w:val="2"/>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jc w:val="center"/>
              <w:rPr>
                <w:rFonts w:cs="Times New Roman"/>
                <w:b/>
                <w:bCs/>
                <w:color w:val="auto"/>
                <w:sz w:val="21"/>
                <w:szCs w:val="21"/>
              </w:rPr>
            </w:pPr>
            <w:bookmarkStart w:id="16" w:name="_Hlk217983002"/>
            <w:r>
              <w:rPr>
                <w:rFonts w:cs="Times New Roman"/>
                <w:b/>
                <w:bCs/>
                <w:color w:val="auto"/>
                <w:sz w:val="21"/>
                <w:szCs w:val="21"/>
              </w:rPr>
              <w:t>项目组成</w:t>
            </w:r>
          </w:p>
        </w:tc>
        <w:tc>
          <w:tcPr>
            <w:tcW w:w="3143"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jc w:val="center"/>
              <w:rPr>
                <w:rFonts w:cs="Times New Roman"/>
                <w:b/>
                <w:bCs/>
                <w:color w:val="auto"/>
                <w:sz w:val="21"/>
                <w:szCs w:val="21"/>
              </w:rPr>
            </w:pPr>
            <w:r>
              <w:rPr>
                <w:rFonts w:cs="Times New Roman"/>
                <w:b/>
                <w:bCs/>
                <w:color w:val="auto"/>
                <w:sz w:val="21"/>
                <w:szCs w:val="21"/>
              </w:rPr>
              <w:t>环评报告及批复要求</w:t>
            </w:r>
          </w:p>
        </w:tc>
        <w:tc>
          <w:tcPr>
            <w:tcW w:w="296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b/>
                <w:bCs/>
                <w:color w:val="auto"/>
                <w:sz w:val="21"/>
                <w:szCs w:val="21"/>
              </w:rPr>
            </w:pPr>
            <w:r>
              <w:rPr>
                <w:rFonts w:cs="Times New Roman"/>
                <w:b/>
                <w:bCs/>
                <w:color w:val="auto"/>
                <w:sz w:val="21"/>
                <w:szCs w:val="21"/>
              </w:rPr>
              <w:t>实际建设内容</w:t>
            </w:r>
          </w:p>
        </w:tc>
        <w:tc>
          <w:tcPr>
            <w:tcW w:w="93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b/>
                <w:bCs/>
                <w:color w:val="auto"/>
                <w:sz w:val="21"/>
                <w:szCs w:val="21"/>
              </w:rPr>
            </w:pPr>
            <w:r>
              <w:rPr>
                <w:rFonts w:cs="Times New Roman"/>
                <w:b/>
                <w:bCs/>
                <w:color w:val="auto"/>
                <w:sz w:val="21"/>
                <w:szCs w:val="21"/>
              </w:rPr>
              <w:t>变化情况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90" w:hRule="atLeast"/>
          <w:jc w:val="center"/>
        </w:trPr>
        <w:tc>
          <w:tcPr>
            <w:tcW w:w="470" w:type="dxa"/>
            <w:vMerge w:val="restart"/>
            <w:tcBorders>
              <w:top w:val="nil"/>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主体工程</w:t>
            </w:r>
          </w:p>
        </w:tc>
        <w:tc>
          <w:tcPr>
            <w:tcW w:w="112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开料及折弯区</w:t>
            </w:r>
          </w:p>
        </w:tc>
        <w:tc>
          <w:tcPr>
            <w:tcW w:w="3143"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rPr>
                <w:rFonts w:cs="Times New Roman"/>
                <w:color w:val="auto"/>
                <w:sz w:val="21"/>
                <w:szCs w:val="21"/>
              </w:rPr>
            </w:pPr>
            <w:r>
              <w:rPr>
                <w:rFonts w:cs="Times New Roman"/>
                <w:color w:val="auto"/>
                <w:sz w:val="21"/>
                <w:szCs w:val="21"/>
              </w:rPr>
              <w:t>高度8.2m，占地面积320m</w:t>
            </w:r>
            <w:r>
              <w:rPr>
                <w:rFonts w:cs="Times New Roman"/>
                <w:color w:val="auto"/>
                <w:sz w:val="21"/>
                <w:szCs w:val="21"/>
                <w:vertAlign w:val="superscript"/>
              </w:rPr>
              <w:t>2</w:t>
            </w:r>
            <w:r>
              <w:rPr>
                <w:rFonts w:cs="Times New Roman"/>
                <w:color w:val="auto"/>
                <w:sz w:val="21"/>
                <w:szCs w:val="21"/>
              </w:rPr>
              <w:t>，用于开料、折弯工序</w:t>
            </w:r>
          </w:p>
        </w:tc>
        <w:tc>
          <w:tcPr>
            <w:tcW w:w="296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rPr>
                <w:rFonts w:cs="Times New Roman"/>
                <w:color w:val="auto"/>
                <w:sz w:val="21"/>
                <w:szCs w:val="21"/>
              </w:rPr>
            </w:pPr>
            <w:r>
              <w:rPr>
                <w:rFonts w:cs="Times New Roman"/>
                <w:color w:val="auto"/>
                <w:sz w:val="21"/>
                <w:szCs w:val="21"/>
              </w:rPr>
              <w:t>高度8.2m，占地面积320m</w:t>
            </w:r>
            <w:r>
              <w:rPr>
                <w:rFonts w:cs="Times New Roman"/>
                <w:color w:val="auto"/>
                <w:sz w:val="21"/>
                <w:szCs w:val="21"/>
                <w:vertAlign w:val="superscript"/>
              </w:rPr>
              <w:t>2</w:t>
            </w:r>
            <w:r>
              <w:rPr>
                <w:rFonts w:cs="Times New Roman"/>
                <w:color w:val="auto"/>
                <w:sz w:val="21"/>
                <w:szCs w:val="21"/>
              </w:rPr>
              <w:t>，用于开料、折弯工序</w:t>
            </w:r>
          </w:p>
        </w:tc>
        <w:tc>
          <w:tcPr>
            <w:tcW w:w="93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90" w:hRule="atLeast"/>
          <w:jc w:val="center"/>
        </w:trPr>
        <w:tc>
          <w:tcPr>
            <w:tcW w:w="47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p>
        </w:tc>
        <w:tc>
          <w:tcPr>
            <w:tcW w:w="112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刨槽及冲孔区</w:t>
            </w:r>
          </w:p>
        </w:tc>
        <w:tc>
          <w:tcPr>
            <w:tcW w:w="3143"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rPr>
                <w:rFonts w:cs="Times New Roman"/>
                <w:color w:val="auto"/>
                <w:sz w:val="21"/>
                <w:szCs w:val="21"/>
              </w:rPr>
            </w:pPr>
            <w:r>
              <w:rPr>
                <w:rFonts w:cs="Times New Roman"/>
                <w:color w:val="auto"/>
                <w:sz w:val="21"/>
                <w:szCs w:val="21"/>
              </w:rPr>
              <w:t>高度8.2m，占地面积101m</w:t>
            </w:r>
            <w:r>
              <w:rPr>
                <w:rFonts w:cs="Times New Roman"/>
                <w:color w:val="auto"/>
                <w:sz w:val="21"/>
                <w:szCs w:val="21"/>
                <w:vertAlign w:val="superscript"/>
              </w:rPr>
              <w:t>2</w:t>
            </w:r>
            <w:r>
              <w:rPr>
                <w:rFonts w:cs="Times New Roman"/>
                <w:color w:val="auto"/>
                <w:sz w:val="21"/>
                <w:szCs w:val="21"/>
              </w:rPr>
              <w:t>，用于刨槽、冲孔工序</w:t>
            </w:r>
          </w:p>
        </w:tc>
        <w:tc>
          <w:tcPr>
            <w:tcW w:w="296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rPr>
                <w:rFonts w:cs="Times New Roman"/>
                <w:color w:val="auto"/>
                <w:sz w:val="21"/>
                <w:szCs w:val="21"/>
              </w:rPr>
            </w:pPr>
            <w:r>
              <w:rPr>
                <w:rFonts w:cs="Times New Roman"/>
                <w:color w:val="auto"/>
                <w:sz w:val="21"/>
                <w:szCs w:val="21"/>
              </w:rPr>
              <w:t>高度8.2m，占地面积101m</w:t>
            </w:r>
            <w:r>
              <w:rPr>
                <w:rFonts w:cs="Times New Roman"/>
                <w:color w:val="auto"/>
                <w:sz w:val="21"/>
                <w:szCs w:val="21"/>
                <w:vertAlign w:val="superscript"/>
              </w:rPr>
              <w:t>2</w:t>
            </w:r>
            <w:r>
              <w:rPr>
                <w:rFonts w:cs="Times New Roman"/>
                <w:color w:val="auto"/>
                <w:sz w:val="21"/>
                <w:szCs w:val="21"/>
              </w:rPr>
              <w:t>，用于刨槽、冲孔工序</w:t>
            </w:r>
          </w:p>
        </w:tc>
        <w:tc>
          <w:tcPr>
            <w:tcW w:w="93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90" w:hRule="atLeast"/>
          <w:jc w:val="center"/>
        </w:trPr>
        <w:tc>
          <w:tcPr>
            <w:tcW w:w="47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p>
        </w:tc>
        <w:tc>
          <w:tcPr>
            <w:tcW w:w="112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焊框区</w:t>
            </w:r>
          </w:p>
        </w:tc>
        <w:tc>
          <w:tcPr>
            <w:tcW w:w="3143"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rPr>
                <w:rFonts w:cs="Times New Roman"/>
                <w:color w:val="auto"/>
                <w:sz w:val="21"/>
                <w:szCs w:val="21"/>
              </w:rPr>
            </w:pPr>
            <w:r>
              <w:rPr>
                <w:rFonts w:cs="Times New Roman"/>
                <w:color w:val="auto"/>
                <w:sz w:val="21"/>
                <w:szCs w:val="21"/>
              </w:rPr>
              <w:t>高度8.2m，占地面积113.2m</w:t>
            </w:r>
            <w:r>
              <w:rPr>
                <w:rFonts w:cs="Times New Roman"/>
                <w:color w:val="auto"/>
                <w:sz w:val="21"/>
                <w:szCs w:val="21"/>
                <w:vertAlign w:val="superscript"/>
              </w:rPr>
              <w:t>2</w:t>
            </w:r>
            <w:r>
              <w:rPr>
                <w:rFonts w:cs="Times New Roman"/>
                <w:color w:val="auto"/>
                <w:sz w:val="21"/>
                <w:szCs w:val="21"/>
              </w:rPr>
              <w:t>，用于焊框工序</w:t>
            </w:r>
          </w:p>
        </w:tc>
        <w:tc>
          <w:tcPr>
            <w:tcW w:w="296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rPr>
                <w:rFonts w:cs="Times New Roman"/>
                <w:color w:val="auto"/>
                <w:sz w:val="21"/>
                <w:szCs w:val="21"/>
              </w:rPr>
            </w:pPr>
            <w:r>
              <w:rPr>
                <w:rFonts w:cs="Times New Roman"/>
                <w:color w:val="auto"/>
                <w:sz w:val="21"/>
                <w:szCs w:val="21"/>
              </w:rPr>
              <w:t>高度8.2m，占地面积113.2m</w:t>
            </w:r>
            <w:r>
              <w:rPr>
                <w:rFonts w:cs="Times New Roman"/>
                <w:color w:val="auto"/>
                <w:sz w:val="21"/>
                <w:szCs w:val="21"/>
                <w:vertAlign w:val="superscript"/>
              </w:rPr>
              <w:t>2</w:t>
            </w:r>
            <w:r>
              <w:rPr>
                <w:rFonts w:cs="Times New Roman"/>
                <w:color w:val="auto"/>
                <w:sz w:val="21"/>
                <w:szCs w:val="21"/>
              </w:rPr>
              <w:t>，用于焊框工序</w:t>
            </w:r>
          </w:p>
        </w:tc>
        <w:tc>
          <w:tcPr>
            <w:tcW w:w="93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90" w:hRule="atLeast"/>
          <w:jc w:val="center"/>
        </w:trPr>
        <w:tc>
          <w:tcPr>
            <w:tcW w:w="47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p>
        </w:tc>
        <w:tc>
          <w:tcPr>
            <w:tcW w:w="112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胶合区</w:t>
            </w:r>
          </w:p>
        </w:tc>
        <w:tc>
          <w:tcPr>
            <w:tcW w:w="3143"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rPr>
                <w:rFonts w:cs="Times New Roman"/>
                <w:color w:val="auto"/>
                <w:sz w:val="21"/>
                <w:szCs w:val="21"/>
              </w:rPr>
            </w:pPr>
            <w:r>
              <w:rPr>
                <w:rFonts w:cs="Times New Roman"/>
                <w:color w:val="auto"/>
                <w:sz w:val="21"/>
                <w:szCs w:val="21"/>
              </w:rPr>
              <w:t>高度8.2m，占地面积120m</w:t>
            </w:r>
            <w:r>
              <w:rPr>
                <w:rFonts w:cs="Times New Roman"/>
                <w:color w:val="auto"/>
                <w:sz w:val="21"/>
                <w:szCs w:val="21"/>
                <w:vertAlign w:val="superscript"/>
              </w:rPr>
              <w:t>2</w:t>
            </w:r>
            <w:r>
              <w:rPr>
                <w:rFonts w:cs="Times New Roman"/>
                <w:color w:val="auto"/>
                <w:sz w:val="21"/>
                <w:szCs w:val="21"/>
              </w:rPr>
              <w:t>，用于胶合门扇工序</w:t>
            </w:r>
          </w:p>
        </w:tc>
        <w:tc>
          <w:tcPr>
            <w:tcW w:w="296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rPr>
                <w:rFonts w:cs="Times New Roman"/>
                <w:color w:val="auto"/>
                <w:sz w:val="21"/>
                <w:szCs w:val="21"/>
              </w:rPr>
            </w:pPr>
            <w:r>
              <w:rPr>
                <w:rFonts w:cs="Times New Roman"/>
                <w:color w:val="auto"/>
                <w:sz w:val="21"/>
                <w:szCs w:val="21"/>
              </w:rPr>
              <w:t>高度8.2m，占地面积120m</w:t>
            </w:r>
            <w:r>
              <w:rPr>
                <w:rFonts w:cs="Times New Roman"/>
                <w:color w:val="auto"/>
                <w:sz w:val="21"/>
                <w:szCs w:val="21"/>
                <w:vertAlign w:val="superscript"/>
              </w:rPr>
              <w:t>2</w:t>
            </w:r>
            <w:r>
              <w:rPr>
                <w:rFonts w:cs="Times New Roman"/>
                <w:color w:val="auto"/>
                <w:sz w:val="21"/>
                <w:szCs w:val="21"/>
              </w:rPr>
              <w:t>，用于胶合门扇工序</w:t>
            </w:r>
          </w:p>
        </w:tc>
        <w:tc>
          <w:tcPr>
            <w:tcW w:w="93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90" w:hRule="atLeast"/>
          <w:jc w:val="center"/>
        </w:trPr>
        <w:tc>
          <w:tcPr>
            <w:tcW w:w="47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p>
        </w:tc>
        <w:tc>
          <w:tcPr>
            <w:tcW w:w="112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门扇封花区</w:t>
            </w:r>
          </w:p>
        </w:tc>
        <w:tc>
          <w:tcPr>
            <w:tcW w:w="3143"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rPr>
                <w:rFonts w:cs="Times New Roman"/>
                <w:color w:val="auto"/>
                <w:sz w:val="21"/>
                <w:szCs w:val="21"/>
              </w:rPr>
            </w:pPr>
            <w:r>
              <w:rPr>
                <w:rFonts w:cs="Times New Roman"/>
                <w:color w:val="auto"/>
                <w:sz w:val="21"/>
                <w:szCs w:val="21"/>
              </w:rPr>
              <w:t>高度8.2m，占地面积180m</w:t>
            </w:r>
            <w:r>
              <w:rPr>
                <w:rFonts w:cs="Times New Roman"/>
                <w:color w:val="auto"/>
                <w:sz w:val="21"/>
                <w:szCs w:val="21"/>
                <w:vertAlign w:val="superscript"/>
              </w:rPr>
              <w:t>2</w:t>
            </w:r>
            <w:r>
              <w:rPr>
                <w:rFonts w:cs="Times New Roman"/>
                <w:color w:val="auto"/>
                <w:sz w:val="21"/>
                <w:szCs w:val="21"/>
              </w:rPr>
              <w:t>，用于门扇封花工序</w:t>
            </w:r>
          </w:p>
        </w:tc>
        <w:tc>
          <w:tcPr>
            <w:tcW w:w="296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rPr>
                <w:rFonts w:cs="Times New Roman"/>
                <w:color w:val="auto"/>
                <w:sz w:val="21"/>
                <w:szCs w:val="21"/>
              </w:rPr>
            </w:pPr>
            <w:r>
              <w:rPr>
                <w:rFonts w:cs="Times New Roman"/>
                <w:color w:val="auto"/>
                <w:sz w:val="21"/>
                <w:szCs w:val="21"/>
              </w:rPr>
              <w:t>高度8.2m，占地面积180m</w:t>
            </w:r>
            <w:r>
              <w:rPr>
                <w:rFonts w:cs="Times New Roman"/>
                <w:color w:val="auto"/>
                <w:sz w:val="21"/>
                <w:szCs w:val="21"/>
                <w:vertAlign w:val="superscript"/>
              </w:rPr>
              <w:t>2</w:t>
            </w:r>
            <w:r>
              <w:rPr>
                <w:rFonts w:cs="Times New Roman"/>
                <w:color w:val="auto"/>
                <w:sz w:val="21"/>
                <w:szCs w:val="21"/>
              </w:rPr>
              <w:t>，用于门扇封花工序</w:t>
            </w:r>
          </w:p>
        </w:tc>
        <w:tc>
          <w:tcPr>
            <w:tcW w:w="93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90" w:hRule="atLeast"/>
          <w:jc w:val="center"/>
        </w:trPr>
        <w:tc>
          <w:tcPr>
            <w:tcW w:w="47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p>
        </w:tc>
        <w:tc>
          <w:tcPr>
            <w:tcW w:w="112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焊罗马头区</w:t>
            </w:r>
          </w:p>
        </w:tc>
        <w:tc>
          <w:tcPr>
            <w:tcW w:w="3143"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rPr>
                <w:rFonts w:cs="Times New Roman"/>
                <w:color w:val="auto"/>
                <w:sz w:val="21"/>
                <w:szCs w:val="21"/>
              </w:rPr>
            </w:pPr>
            <w:r>
              <w:rPr>
                <w:rFonts w:cs="Times New Roman"/>
                <w:color w:val="auto"/>
                <w:sz w:val="21"/>
                <w:szCs w:val="21"/>
              </w:rPr>
              <w:t>高度8.2m，占地面积150.88m</w:t>
            </w:r>
            <w:r>
              <w:rPr>
                <w:rFonts w:cs="Times New Roman"/>
                <w:color w:val="auto"/>
                <w:sz w:val="21"/>
                <w:szCs w:val="21"/>
                <w:vertAlign w:val="superscript"/>
              </w:rPr>
              <w:t>2</w:t>
            </w:r>
            <w:r>
              <w:rPr>
                <w:rFonts w:cs="Times New Roman"/>
                <w:color w:val="auto"/>
                <w:sz w:val="21"/>
                <w:szCs w:val="21"/>
              </w:rPr>
              <w:t>，用于焊罗马头工序</w:t>
            </w:r>
          </w:p>
        </w:tc>
        <w:tc>
          <w:tcPr>
            <w:tcW w:w="296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rPr>
                <w:rFonts w:cs="Times New Roman"/>
                <w:color w:val="auto"/>
                <w:sz w:val="21"/>
                <w:szCs w:val="21"/>
              </w:rPr>
            </w:pPr>
            <w:r>
              <w:rPr>
                <w:rFonts w:cs="Times New Roman"/>
                <w:color w:val="auto"/>
                <w:sz w:val="21"/>
                <w:szCs w:val="21"/>
              </w:rPr>
              <w:t>高度8.2m，占地面积150.88m</w:t>
            </w:r>
            <w:r>
              <w:rPr>
                <w:rFonts w:cs="Times New Roman"/>
                <w:color w:val="auto"/>
                <w:sz w:val="21"/>
                <w:szCs w:val="21"/>
                <w:vertAlign w:val="superscript"/>
              </w:rPr>
              <w:t>2</w:t>
            </w:r>
            <w:r>
              <w:rPr>
                <w:rFonts w:cs="Times New Roman"/>
                <w:color w:val="auto"/>
                <w:sz w:val="21"/>
                <w:szCs w:val="21"/>
              </w:rPr>
              <w:t>，用于焊罗马头工序</w:t>
            </w:r>
          </w:p>
        </w:tc>
        <w:tc>
          <w:tcPr>
            <w:tcW w:w="93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90" w:hRule="atLeast"/>
          <w:jc w:val="center"/>
        </w:trPr>
        <w:tc>
          <w:tcPr>
            <w:tcW w:w="47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p>
        </w:tc>
        <w:tc>
          <w:tcPr>
            <w:tcW w:w="112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打磨区</w:t>
            </w:r>
          </w:p>
        </w:tc>
        <w:tc>
          <w:tcPr>
            <w:tcW w:w="3143"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rPr>
                <w:rFonts w:cs="Times New Roman"/>
                <w:color w:val="auto"/>
                <w:sz w:val="21"/>
                <w:szCs w:val="21"/>
              </w:rPr>
            </w:pPr>
            <w:r>
              <w:rPr>
                <w:rFonts w:cs="Times New Roman"/>
                <w:color w:val="auto"/>
                <w:sz w:val="21"/>
                <w:szCs w:val="21"/>
              </w:rPr>
              <w:t>高度8.2m，占地面积129.7m</w:t>
            </w:r>
            <w:r>
              <w:rPr>
                <w:rFonts w:cs="Times New Roman"/>
                <w:color w:val="auto"/>
                <w:sz w:val="21"/>
                <w:szCs w:val="21"/>
                <w:vertAlign w:val="superscript"/>
              </w:rPr>
              <w:t>2</w:t>
            </w:r>
            <w:r>
              <w:rPr>
                <w:rFonts w:cs="Times New Roman"/>
                <w:color w:val="auto"/>
                <w:sz w:val="21"/>
                <w:szCs w:val="21"/>
              </w:rPr>
              <w:t>，用于打磨工序</w:t>
            </w:r>
          </w:p>
        </w:tc>
        <w:tc>
          <w:tcPr>
            <w:tcW w:w="296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rPr>
                <w:rFonts w:cs="Times New Roman"/>
                <w:color w:val="auto"/>
                <w:sz w:val="21"/>
                <w:szCs w:val="21"/>
              </w:rPr>
            </w:pPr>
            <w:r>
              <w:rPr>
                <w:rFonts w:cs="Times New Roman"/>
                <w:color w:val="auto"/>
                <w:sz w:val="21"/>
                <w:szCs w:val="21"/>
              </w:rPr>
              <w:t>高度8.2m，占地面积129.7m</w:t>
            </w:r>
            <w:r>
              <w:rPr>
                <w:rFonts w:cs="Times New Roman"/>
                <w:color w:val="auto"/>
                <w:sz w:val="21"/>
                <w:szCs w:val="21"/>
                <w:vertAlign w:val="superscript"/>
              </w:rPr>
              <w:t>2</w:t>
            </w:r>
            <w:r>
              <w:rPr>
                <w:rFonts w:cs="Times New Roman"/>
                <w:color w:val="auto"/>
                <w:sz w:val="21"/>
                <w:szCs w:val="21"/>
              </w:rPr>
              <w:t>，用于打磨工序</w:t>
            </w:r>
          </w:p>
        </w:tc>
        <w:tc>
          <w:tcPr>
            <w:tcW w:w="93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90" w:hRule="atLeast"/>
          <w:jc w:val="center"/>
        </w:trPr>
        <w:tc>
          <w:tcPr>
            <w:tcW w:w="47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p>
        </w:tc>
        <w:tc>
          <w:tcPr>
            <w:tcW w:w="112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清抹区</w:t>
            </w:r>
          </w:p>
        </w:tc>
        <w:tc>
          <w:tcPr>
            <w:tcW w:w="3143"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rPr>
                <w:rFonts w:cs="Times New Roman"/>
                <w:color w:val="auto"/>
                <w:sz w:val="21"/>
                <w:szCs w:val="21"/>
              </w:rPr>
            </w:pPr>
            <w:r>
              <w:rPr>
                <w:rFonts w:cs="Times New Roman"/>
                <w:color w:val="auto"/>
                <w:sz w:val="21"/>
                <w:szCs w:val="21"/>
              </w:rPr>
              <w:t>高度8.2m，占地面积129.7m</w:t>
            </w:r>
            <w:r>
              <w:rPr>
                <w:rFonts w:cs="Times New Roman"/>
                <w:color w:val="auto"/>
                <w:sz w:val="21"/>
                <w:szCs w:val="21"/>
                <w:vertAlign w:val="superscript"/>
              </w:rPr>
              <w:t>2</w:t>
            </w:r>
            <w:r>
              <w:rPr>
                <w:rFonts w:cs="Times New Roman"/>
                <w:color w:val="auto"/>
                <w:sz w:val="21"/>
                <w:szCs w:val="21"/>
              </w:rPr>
              <w:t>，用于清抹工序</w:t>
            </w:r>
          </w:p>
        </w:tc>
        <w:tc>
          <w:tcPr>
            <w:tcW w:w="296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rPr>
                <w:rFonts w:cs="Times New Roman"/>
                <w:color w:val="auto"/>
                <w:sz w:val="21"/>
                <w:szCs w:val="21"/>
              </w:rPr>
            </w:pPr>
            <w:r>
              <w:rPr>
                <w:rFonts w:cs="Times New Roman"/>
                <w:color w:val="auto"/>
                <w:sz w:val="21"/>
                <w:szCs w:val="21"/>
              </w:rPr>
              <w:t>高度8.2m，占地面积129.7m</w:t>
            </w:r>
            <w:r>
              <w:rPr>
                <w:rFonts w:cs="Times New Roman"/>
                <w:color w:val="auto"/>
                <w:sz w:val="21"/>
                <w:szCs w:val="21"/>
                <w:vertAlign w:val="superscript"/>
              </w:rPr>
              <w:t>2</w:t>
            </w:r>
            <w:r>
              <w:rPr>
                <w:rFonts w:cs="Times New Roman"/>
                <w:color w:val="auto"/>
                <w:sz w:val="21"/>
                <w:szCs w:val="21"/>
              </w:rPr>
              <w:t>，用于清抹工序</w:t>
            </w:r>
          </w:p>
        </w:tc>
        <w:tc>
          <w:tcPr>
            <w:tcW w:w="93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90" w:hRule="atLeast"/>
          <w:jc w:val="center"/>
        </w:trPr>
        <w:tc>
          <w:tcPr>
            <w:tcW w:w="47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p>
        </w:tc>
        <w:tc>
          <w:tcPr>
            <w:tcW w:w="112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喷粉及固化区</w:t>
            </w:r>
          </w:p>
        </w:tc>
        <w:tc>
          <w:tcPr>
            <w:tcW w:w="3143"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rPr>
                <w:rFonts w:cs="Times New Roman"/>
                <w:color w:val="auto"/>
                <w:sz w:val="21"/>
                <w:szCs w:val="21"/>
              </w:rPr>
            </w:pPr>
            <w:r>
              <w:rPr>
                <w:rFonts w:cs="Times New Roman"/>
                <w:color w:val="auto"/>
                <w:sz w:val="21"/>
                <w:szCs w:val="21"/>
              </w:rPr>
              <w:t>高度8.2m，占地面积235m</w:t>
            </w:r>
            <w:r>
              <w:rPr>
                <w:rFonts w:cs="Times New Roman"/>
                <w:color w:val="auto"/>
                <w:sz w:val="21"/>
                <w:szCs w:val="21"/>
                <w:vertAlign w:val="superscript"/>
              </w:rPr>
              <w:t>2</w:t>
            </w:r>
            <w:r>
              <w:rPr>
                <w:rFonts w:cs="Times New Roman"/>
                <w:color w:val="auto"/>
                <w:sz w:val="21"/>
                <w:szCs w:val="21"/>
              </w:rPr>
              <w:t>，用于喷粉末涂料及固化工序，设置1个喷粉房和1个固化炉。</w:t>
            </w:r>
          </w:p>
        </w:tc>
        <w:tc>
          <w:tcPr>
            <w:tcW w:w="296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rPr>
                <w:rFonts w:cs="Times New Roman"/>
                <w:color w:val="auto"/>
                <w:sz w:val="21"/>
                <w:szCs w:val="21"/>
              </w:rPr>
            </w:pPr>
            <w:r>
              <w:rPr>
                <w:rFonts w:cs="Times New Roman"/>
                <w:color w:val="auto"/>
                <w:sz w:val="21"/>
                <w:szCs w:val="21"/>
              </w:rPr>
              <w:t>高度8.2m，占地面积235m</w:t>
            </w:r>
            <w:r>
              <w:rPr>
                <w:rFonts w:cs="Times New Roman"/>
                <w:color w:val="auto"/>
                <w:sz w:val="21"/>
                <w:szCs w:val="21"/>
                <w:vertAlign w:val="superscript"/>
              </w:rPr>
              <w:t>2</w:t>
            </w:r>
            <w:r>
              <w:rPr>
                <w:rFonts w:cs="Times New Roman"/>
                <w:color w:val="auto"/>
                <w:sz w:val="21"/>
                <w:szCs w:val="21"/>
              </w:rPr>
              <w:t>，用于喷粉末涂料及固化工序，设置1个喷粉房和1个固化炉。</w:t>
            </w:r>
          </w:p>
        </w:tc>
        <w:tc>
          <w:tcPr>
            <w:tcW w:w="93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90" w:hRule="atLeast"/>
          <w:jc w:val="center"/>
        </w:trPr>
        <w:tc>
          <w:tcPr>
            <w:tcW w:w="47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p>
        </w:tc>
        <w:tc>
          <w:tcPr>
            <w:tcW w:w="112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喷漆及烘干区1</w:t>
            </w:r>
          </w:p>
        </w:tc>
        <w:tc>
          <w:tcPr>
            <w:tcW w:w="3143"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rPr>
                <w:rFonts w:cs="Times New Roman"/>
                <w:color w:val="auto"/>
                <w:sz w:val="21"/>
                <w:szCs w:val="21"/>
              </w:rPr>
            </w:pPr>
            <w:r>
              <w:rPr>
                <w:rFonts w:cs="Times New Roman"/>
                <w:color w:val="auto"/>
                <w:sz w:val="21"/>
                <w:szCs w:val="21"/>
              </w:rPr>
              <w:t>高度8.2m，占地面积290m</w:t>
            </w:r>
            <w:r>
              <w:rPr>
                <w:rFonts w:cs="Times New Roman"/>
                <w:color w:val="auto"/>
                <w:sz w:val="21"/>
                <w:szCs w:val="21"/>
                <w:vertAlign w:val="superscript"/>
              </w:rPr>
              <w:t>2</w:t>
            </w:r>
            <w:r>
              <w:rPr>
                <w:rFonts w:cs="Times New Roman"/>
                <w:color w:val="auto"/>
                <w:sz w:val="21"/>
                <w:szCs w:val="21"/>
              </w:rPr>
              <w:t>，用于调漆、喷漆（喷青铜漆、纯水性色漆、拉丝漆）、</w:t>
            </w:r>
            <w:r>
              <w:rPr>
                <w:rFonts w:cs="Times New Roman"/>
                <w:color w:val="auto"/>
                <w:kern w:val="0"/>
                <w:sz w:val="21"/>
                <w:szCs w:val="21"/>
              </w:rPr>
              <w:t>洗枪</w:t>
            </w:r>
            <w:r>
              <w:rPr>
                <w:rFonts w:cs="Times New Roman"/>
                <w:color w:val="auto"/>
                <w:sz w:val="21"/>
                <w:szCs w:val="21"/>
              </w:rPr>
              <w:t>及烘干工序，设置1个喷漆房1、1个调漆房和1个烤漆炉1。</w:t>
            </w:r>
          </w:p>
        </w:tc>
        <w:tc>
          <w:tcPr>
            <w:tcW w:w="296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rPr>
                <w:rFonts w:cs="Times New Roman"/>
                <w:color w:val="auto"/>
                <w:sz w:val="21"/>
                <w:szCs w:val="21"/>
              </w:rPr>
            </w:pPr>
            <w:r>
              <w:rPr>
                <w:rFonts w:cs="Times New Roman"/>
                <w:color w:val="auto"/>
                <w:sz w:val="21"/>
                <w:szCs w:val="21"/>
              </w:rPr>
              <w:t>高度8.2m，占地面积290m</w:t>
            </w:r>
            <w:r>
              <w:rPr>
                <w:rFonts w:cs="Times New Roman"/>
                <w:color w:val="auto"/>
                <w:sz w:val="21"/>
                <w:szCs w:val="21"/>
                <w:vertAlign w:val="superscript"/>
              </w:rPr>
              <w:t>2</w:t>
            </w:r>
            <w:r>
              <w:rPr>
                <w:rFonts w:cs="Times New Roman"/>
                <w:color w:val="auto"/>
                <w:sz w:val="21"/>
                <w:szCs w:val="21"/>
              </w:rPr>
              <w:t>，用于调漆、喷漆（喷青铜漆、纯水性色漆、拉丝漆）、</w:t>
            </w:r>
            <w:r>
              <w:rPr>
                <w:rFonts w:cs="Times New Roman"/>
                <w:color w:val="auto"/>
                <w:kern w:val="0"/>
                <w:sz w:val="21"/>
                <w:szCs w:val="21"/>
              </w:rPr>
              <w:t>洗枪</w:t>
            </w:r>
            <w:r>
              <w:rPr>
                <w:rFonts w:cs="Times New Roman"/>
                <w:color w:val="auto"/>
                <w:sz w:val="21"/>
                <w:szCs w:val="21"/>
              </w:rPr>
              <w:t>及烘干工序，设置1个喷漆房1、1个调漆房和1个烤漆炉1。</w:t>
            </w:r>
          </w:p>
        </w:tc>
        <w:tc>
          <w:tcPr>
            <w:tcW w:w="93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90" w:hRule="atLeast"/>
          <w:jc w:val="center"/>
        </w:trPr>
        <w:tc>
          <w:tcPr>
            <w:tcW w:w="47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p>
        </w:tc>
        <w:tc>
          <w:tcPr>
            <w:tcW w:w="112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喷漆及烘干区2</w:t>
            </w:r>
          </w:p>
        </w:tc>
        <w:tc>
          <w:tcPr>
            <w:tcW w:w="3143"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rPr>
                <w:rFonts w:cs="Times New Roman"/>
                <w:color w:val="auto"/>
                <w:sz w:val="21"/>
                <w:szCs w:val="21"/>
              </w:rPr>
            </w:pPr>
            <w:r>
              <w:rPr>
                <w:rFonts w:cs="Times New Roman"/>
                <w:color w:val="auto"/>
                <w:sz w:val="21"/>
                <w:szCs w:val="21"/>
              </w:rPr>
              <w:t>高度8.2m，占地面积209m</w:t>
            </w:r>
            <w:r>
              <w:rPr>
                <w:rFonts w:cs="Times New Roman"/>
                <w:color w:val="auto"/>
                <w:sz w:val="21"/>
                <w:szCs w:val="21"/>
                <w:vertAlign w:val="superscript"/>
              </w:rPr>
              <w:t>2</w:t>
            </w:r>
            <w:r>
              <w:rPr>
                <w:rFonts w:cs="Times New Roman"/>
                <w:color w:val="auto"/>
                <w:sz w:val="21"/>
                <w:szCs w:val="21"/>
              </w:rPr>
              <w:t>，用于调漆、喷漆（喷亚克力光油、纯水性清漆）、</w:t>
            </w:r>
            <w:r>
              <w:rPr>
                <w:rFonts w:cs="Times New Roman"/>
                <w:color w:val="auto"/>
                <w:kern w:val="0"/>
                <w:sz w:val="21"/>
                <w:szCs w:val="21"/>
              </w:rPr>
              <w:t>洗枪</w:t>
            </w:r>
            <w:r>
              <w:rPr>
                <w:rFonts w:cs="Times New Roman"/>
                <w:color w:val="auto"/>
                <w:sz w:val="21"/>
                <w:szCs w:val="21"/>
              </w:rPr>
              <w:t>及烘干工序，设置1个喷漆房2和1个烤漆炉2。</w:t>
            </w:r>
          </w:p>
        </w:tc>
        <w:tc>
          <w:tcPr>
            <w:tcW w:w="296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rPr>
                <w:rFonts w:cs="Times New Roman"/>
                <w:color w:val="auto"/>
                <w:sz w:val="21"/>
                <w:szCs w:val="21"/>
              </w:rPr>
            </w:pPr>
            <w:r>
              <w:rPr>
                <w:rFonts w:cs="Times New Roman"/>
                <w:color w:val="auto"/>
                <w:sz w:val="21"/>
                <w:szCs w:val="21"/>
              </w:rPr>
              <w:t>高度8.2m，占地面积209m</w:t>
            </w:r>
            <w:r>
              <w:rPr>
                <w:rFonts w:cs="Times New Roman"/>
                <w:color w:val="auto"/>
                <w:sz w:val="21"/>
                <w:szCs w:val="21"/>
                <w:vertAlign w:val="superscript"/>
              </w:rPr>
              <w:t>2</w:t>
            </w:r>
            <w:r>
              <w:rPr>
                <w:rFonts w:cs="Times New Roman"/>
                <w:color w:val="auto"/>
                <w:sz w:val="21"/>
                <w:szCs w:val="21"/>
              </w:rPr>
              <w:t>，用于调漆、喷漆（喷亚克力光油、纯水性清漆）、</w:t>
            </w:r>
            <w:r>
              <w:rPr>
                <w:rFonts w:cs="Times New Roman"/>
                <w:color w:val="auto"/>
                <w:kern w:val="0"/>
                <w:sz w:val="21"/>
                <w:szCs w:val="21"/>
              </w:rPr>
              <w:t>洗枪</w:t>
            </w:r>
            <w:r>
              <w:rPr>
                <w:rFonts w:cs="Times New Roman"/>
                <w:color w:val="auto"/>
                <w:sz w:val="21"/>
                <w:szCs w:val="21"/>
              </w:rPr>
              <w:t>及烘干工序，设置1个喷漆房2和1个烤漆炉2。</w:t>
            </w:r>
          </w:p>
        </w:tc>
        <w:tc>
          <w:tcPr>
            <w:tcW w:w="93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90" w:hRule="atLeast"/>
          <w:jc w:val="center"/>
        </w:trPr>
        <w:tc>
          <w:tcPr>
            <w:tcW w:w="47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p>
        </w:tc>
        <w:tc>
          <w:tcPr>
            <w:tcW w:w="112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拉丝区</w:t>
            </w:r>
          </w:p>
        </w:tc>
        <w:tc>
          <w:tcPr>
            <w:tcW w:w="3143"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rPr>
                <w:rFonts w:cs="Times New Roman"/>
                <w:color w:val="auto"/>
                <w:sz w:val="21"/>
                <w:szCs w:val="21"/>
              </w:rPr>
            </w:pPr>
            <w:r>
              <w:rPr>
                <w:rFonts w:cs="Times New Roman"/>
                <w:color w:val="auto"/>
                <w:sz w:val="21"/>
                <w:szCs w:val="21"/>
              </w:rPr>
              <w:t>高度8.2m，占地面积150.88m</w:t>
            </w:r>
            <w:r>
              <w:rPr>
                <w:rFonts w:cs="Times New Roman"/>
                <w:color w:val="auto"/>
                <w:sz w:val="21"/>
                <w:szCs w:val="21"/>
                <w:vertAlign w:val="superscript"/>
              </w:rPr>
              <w:t>2</w:t>
            </w:r>
            <w:r>
              <w:rPr>
                <w:rFonts w:cs="Times New Roman"/>
                <w:color w:val="auto"/>
                <w:sz w:val="21"/>
                <w:szCs w:val="21"/>
              </w:rPr>
              <w:t>，用于拉丝工序</w:t>
            </w:r>
          </w:p>
        </w:tc>
        <w:tc>
          <w:tcPr>
            <w:tcW w:w="296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rPr>
                <w:rFonts w:cs="Times New Roman"/>
                <w:color w:val="auto"/>
                <w:sz w:val="21"/>
                <w:szCs w:val="21"/>
              </w:rPr>
            </w:pPr>
            <w:r>
              <w:rPr>
                <w:rFonts w:cs="Times New Roman"/>
                <w:color w:val="auto"/>
                <w:sz w:val="21"/>
                <w:szCs w:val="21"/>
              </w:rPr>
              <w:t>高度8.2m，占地面积150.88m</w:t>
            </w:r>
            <w:r>
              <w:rPr>
                <w:rFonts w:cs="Times New Roman"/>
                <w:color w:val="auto"/>
                <w:sz w:val="21"/>
                <w:szCs w:val="21"/>
                <w:vertAlign w:val="superscript"/>
              </w:rPr>
              <w:t>2</w:t>
            </w:r>
            <w:r>
              <w:rPr>
                <w:rFonts w:cs="Times New Roman"/>
                <w:color w:val="auto"/>
                <w:sz w:val="21"/>
                <w:szCs w:val="21"/>
              </w:rPr>
              <w:t>，用于拉丝工序</w:t>
            </w:r>
          </w:p>
        </w:tc>
        <w:tc>
          <w:tcPr>
            <w:tcW w:w="93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90" w:hRule="atLeast"/>
          <w:jc w:val="center"/>
        </w:trPr>
        <w:tc>
          <w:tcPr>
            <w:tcW w:w="47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p>
        </w:tc>
        <w:tc>
          <w:tcPr>
            <w:tcW w:w="112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装配及成品调试区</w:t>
            </w:r>
          </w:p>
        </w:tc>
        <w:tc>
          <w:tcPr>
            <w:tcW w:w="3143"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rPr>
                <w:rFonts w:cs="Times New Roman"/>
                <w:color w:val="auto"/>
                <w:sz w:val="21"/>
                <w:szCs w:val="21"/>
              </w:rPr>
            </w:pPr>
            <w:r>
              <w:rPr>
                <w:rFonts w:cs="Times New Roman"/>
                <w:color w:val="auto"/>
                <w:sz w:val="21"/>
                <w:szCs w:val="21"/>
              </w:rPr>
              <w:t>高度8.2m，占地面积600m</w:t>
            </w:r>
            <w:r>
              <w:rPr>
                <w:rFonts w:cs="Times New Roman"/>
                <w:color w:val="auto"/>
                <w:sz w:val="21"/>
                <w:szCs w:val="21"/>
                <w:vertAlign w:val="superscript"/>
              </w:rPr>
              <w:t>2</w:t>
            </w:r>
            <w:r>
              <w:rPr>
                <w:rFonts w:cs="Times New Roman"/>
                <w:color w:val="auto"/>
                <w:sz w:val="21"/>
                <w:szCs w:val="21"/>
              </w:rPr>
              <w:t>，用于装配、成品调试工序</w:t>
            </w:r>
          </w:p>
        </w:tc>
        <w:tc>
          <w:tcPr>
            <w:tcW w:w="296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rPr>
                <w:rFonts w:cs="Times New Roman"/>
                <w:color w:val="auto"/>
                <w:sz w:val="21"/>
                <w:szCs w:val="21"/>
              </w:rPr>
            </w:pPr>
            <w:r>
              <w:rPr>
                <w:rFonts w:cs="Times New Roman"/>
                <w:color w:val="auto"/>
                <w:sz w:val="21"/>
                <w:szCs w:val="21"/>
              </w:rPr>
              <w:t>高度8.2m，占地面积600m</w:t>
            </w:r>
            <w:r>
              <w:rPr>
                <w:rFonts w:cs="Times New Roman"/>
                <w:color w:val="auto"/>
                <w:sz w:val="21"/>
                <w:szCs w:val="21"/>
                <w:vertAlign w:val="superscript"/>
              </w:rPr>
              <w:t>2</w:t>
            </w:r>
            <w:r>
              <w:rPr>
                <w:rFonts w:cs="Times New Roman"/>
                <w:color w:val="auto"/>
                <w:sz w:val="21"/>
                <w:szCs w:val="21"/>
              </w:rPr>
              <w:t>，用于装配、成品调试工序</w:t>
            </w:r>
          </w:p>
        </w:tc>
        <w:tc>
          <w:tcPr>
            <w:tcW w:w="93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272" w:hRule="atLeast"/>
          <w:jc w:val="center"/>
        </w:trPr>
        <w:tc>
          <w:tcPr>
            <w:tcW w:w="470" w:type="dxa"/>
            <w:vMerge w:val="restart"/>
            <w:tcBorders>
              <w:top w:val="nil"/>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储运</w:t>
            </w:r>
          </w:p>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工程</w:t>
            </w:r>
          </w:p>
        </w:tc>
        <w:tc>
          <w:tcPr>
            <w:tcW w:w="112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配件仓库</w:t>
            </w:r>
          </w:p>
        </w:tc>
        <w:tc>
          <w:tcPr>
            <w:tcW w:w="3143"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rPr>
                <w:rFonts w:cs="Times New Roman"/>
                <w:color w:val="auto"/>
                <w:sz w:val="21"/>
                <w:szCs w:val="21"/>
              </w:rPr>
            </w:pPr>
            <w:r>
              <w:rPr>
                <w:rFonts w:cs="Times New Roman"/>
                <w:color w:val="auto"/>
                <w:sz w:val="21"/>
                <w:szCs w:val="21"/>
              </w:rPr>
              <w:t>占地面积58m</w:t>
            </w:r>
            <w:r>
              <w:rPr>
                <w:rFonts w:cs="Times New Roman"/>
                <w:color w:val="auto"/>
                <w:sz w:val="21"/>
                <w:szCs w:val="21"/>
                <w:vertAlign w:val="superscript"/>
              </w:rPr>
              <w:t>2</w:t>
            </w:r>
            <w:r>
              <w:rPr>
                <w:rFonts w:cs="Times New Roman"/>
                <w:color w:val="auto"/>
                <w:sz w:val="21"/>
                <w:szCs w:val="21"/>
              </w:rPr>
              <w:t>，用于储存合页、铝扣条、不锈钢锁、拉手、插销等配件</w:t>
            </w:r>
          </w:p>
        </w:tc>
        <w:tc>
          <w:tcPr>
            <w:tcW w:w="296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rPr>
                <w:rFonts w:cs="Times New Roman"/>
                <w:color w:val="auto"/>
                <w:sz w:val="21"/>
                <w:szCs w:val="21"/>
              </w:rPr>
            </w:pPr>
            <w:r>
              <w:rPr>
                <w:rFonts w:cs="Times New Roman"/>
                <w:color w:val="auto"/>
                <w:sz w:val="21"/>
                <w:szCs w:val="21"/>
              </w:rPr>
              <w:t>占地面积58m</w:t>
            </w:r>
            <w:r>
              <w:rPr>
                <w:rFonts w:cs="Times New Roman"/>
                <w:color w:val="auto"/>
                <w:sz w:val="21"/>
                <w:szCs w:val="21"/>
                <w:vertAlign w:val="superscript"/>
              </w:rPr>
              <w:t>2</w:t>
            </w:r>
            <w:r>
              <w:rPr>
                <w:rFonts w:cs="Times New Roman"/>
                <w:color w:val="auto"/>
                <w:sz w:val="21"/>
                <w:szCs w:val="21"/>
              </w:rPr>
              <w:t>，用于储存合页、铝扣条、不锈钢锁、拉手、插销等配件</w:t>
            </w:r>
          </w:p>
        </w:tc>
        <w:tc>
          <w:tcPr>
            <w:tcW w:w="93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272" w:hRule="atLeast"/>
          <w:jc w:val="center"/>
        </w:trPr>
        <w:tc>
          <w:tcPr>
            <w:tcW w:w="47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p>
        </w:tc>
        <w:tc>
          <w:tcPr>
            <w:tcW w:w="112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卷带仓库</w:t>
            </w:r>
          </w:p>
        </w:tc>
        <w:tc>
          <w:tcPr>
            <w:tcW w:w="3143"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rPr>
                <w:rFonts w:cs="Times New Roman"/>
                <w:color w:val="auto"/>
                <w:sz w:val="21"/>
                <w:szCs w:val="21"/>
              </w:rPr>
            </w:pPr>
            <w:r>
              <w:rPr>
                <w:rFonts w:cs="Times New Roman"/>
                <w:color w:val="auto"/>
                <w:sz w:val="21"/>
                <w:szCs w:val="21"/>
              </w:rPr>
              <w:t>占地面积57.9m</w:t>
            </w:r>
            <w:r>
              <w:rPr>
                <w:rFonts w:cs="Times New Roman"/>
                <w:color w:val="auto"/>
                <w:sz w:val="21"/>
                <w:szCs w:val="21"/>
                <w:vertAlign w:val="superscript"/>
              </w:rPr>
              <w:t>2</w:t>
            </w:r>
            <w:r>
              <w:rPr>
                <w:rFonts w:cs="Times New Roman"/>
                <w:color w:val="auto"/>
                <w:sz w:val="21"/>
                <w:szCs w:val="21"/>
              </w:rPr>
              <w:t>，用于储存不锈钢卷带、铝材</w:t>
            </w:r>
          </w:p>
        </w:tc>
        <w:tc>
          <w:tcPr>
            <w:tcW w:w="296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rPr>
                <w:rFonts w:cs="Times New Roman"/>
                <w:color w:val="auto"/>
                <w:sz w:val="21"/>
                <w:szCs w:val="21"/>
              </w:rPr>
            </w:pPr>
            <w:r>
              <w:rPr>
                <w:rFonts w:cs="Times New Roman"/>
                <w:color w:val="auto"/>
                <w:sz w:val="21"/>
                <w:szCs w:val="21"/>
              </w:rPr>
              <w:t>占地面积57.9m</w:t>
            </w:r>
            <w:r>
              <w:rPr>
                <w:rFonts w:cs="Times New Roman"/>
                <w:color w:val="auto"/>
                <w:sz w:val="21"/>
                <w:szCs w:val="21"/>
                <w:vertAlign w:val="superscript"/>
              </w:rPr>
              <w:t>2</w:t>
            </w:r>
            <w:r>
              <w:rPr>
                <w:rFonts w:cs="Times New Roman"/>
                <w:color w:val="auto"/>
                <w:sz w:val="21"/>
                <w:szCs w:val="21"/>
              </w:rPr>
              <w:t>，用于储存不锈钢卷带、铝材</w:t>
            </w:r>
          </w:p>
        </w:tc>
        <w:tc>
          <w:tcPr>
            <w:tcW w:w="93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272" w:hRule="atLeast"/>
          <w:jc w:val="center"/>
        </w:trPr>
        <w:tc>
          <w:tcPr>
            <w:tcW w:w="47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p>
        </w:tc>
        <w:tc>
          <w:tcPr>
            <w:tcW w:w="112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蜂窝板仓库</w:t>
            </w:r>
          </w:p>
        </w:tc>
        <w:tc>
          <w:tcPr>
            <w:tcW w:w="3143"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rPr>
                <w:rFonts w:cs="Times New Roman"/>
                <w:color w:val="auto"/>
                <w:sz w:val="21"/>
                <w:szCs w:val="21"/>
              </w:rPr>
            </w:pPr>
            <w:r>
              <w:rPr>
                <w:rFonts w:cs="Times New Roman"/>
                <w:color w:val="auto"/>
                <w:sz w:val="21"/>
                <w:szCs w:val="21"/>
              </w:rPr>
              <w:t>占地面积74.3m</w:t>
            </w:r>
            <w:r>
              <w:rPr>
                <w:rFonts w:cs="Times New Roman"/>
                <w:color w:val="auto"/>
                <w:sz w:val="21"/>
                <w:szCs w:val="21"/>
                <w:vertAlign w:val="superscript"/>
              </w:rPr>
              <w:t>2</w:t>
            </w:r>
            <w:r>
              <w:rPr>
                <w:rFonts w:cs="Times New Roman"/>
                <w:color w:val="auto"/>
                <w:sz w:val="21"/>
                <w:szCs w:val="21"/>
              </w:rPr>
              <w:t>，用于储存蜂窝板、蜂窝纸</w:t>
            </w:r>
          </w:p>
        </w:tc>
        <w:tc>
          <w:tcPr>
            <w:tcW w:w="296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rPr>
                <w:rFonts w:cs="Times New Roman"/>
                <w:color w:val="auto"/>
                <w:sz w:val="21"/>
                <w:szCs w:val="21"/>
              </w:rPr>
            </w:pPr>
            <w:r>
              <w:rPr>
                <w:rFonts w:cs="Times New Roman"/>
                <w:color w:val="auto"/>
                <w:sz w:val="21"/>
                <w:szCs w:val="21"/>
              </w:rPr>
              <w:t>占地面积74.3m</w:t>
            </w:r>
            <w:r>
              <w:rPr>
                <w:rFonts w:cs="Times New Roman"/>
                <w:color w:val="auto"/>
                <w:sz w:val="21"/>
                <w:szCs w:val="21"/>
                <w:vertAlign w:val="superscript"/>
              </w:rPr>
              <w:t>2</w:t>
            </w:r>
            <w:r>
              <w:rPr>
                <w:rFonts w:cs="Times New Roman"/>
                <w:color w:val="auto"/>
                <w:sz w:val="21"/>
                <w:szCs w:val="21"/>
              </w:rPr>
              <w:t>，用于储存蜂窝板、蜂窝纸</w:t>
            </w:r>
          </w:p>
        </w:tc>
        <w:tc>
          <w:tcPr>
            <w:tcW w:w="93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90" w:hRule="atLeast"/>
          <w:jc w:val="center"/>
        </w:trPr>
        <w:tc>
          <w:tcPr>
            <w:tcW w:w="47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p>
        </w:tc>
        <w:tc>
          <w:tcPr>
            <w:tcW w:w="112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涂料仓库</w:t>
            </w:r>
          </w:p>
        </w:tc>
        <w:tc>
          <w:tcPr>
            <w:tcW w:w="3143"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rPr>
                <w:rFonts w:cs="Times New Roman"/>
                <w:color w:val="auto"/>
                <w:sz w:val="21"/>
                <w:szCs w:val="21"/>
              </w:rPr>
            </w:pPr>
            <w:r>
              <w:rPr>
                <w:rFonts w:cs="Times New Roman"/>
                <w:color w:val="auto"/>
                <w:sz w:val="21"/>
                <w:szCs w:val="21"/>
              </w:rPr>
              <w:t>占地面积45.7m</w:t>
            </w:r>
            <w:r>
              <w:rPr>
                <w:rFonts w:cs="Times New Roman"/>
                <w:color w:val="auto"/>
                <w:sz w:val="21"/>
                <w:szCs w:val="21"/>
                <w:vertAlign w:val="superscript"/>
              </w:rPr>
              <w:t>2</w:t>
            </w:r>
            <w:r>
              <w:rPr>
                <w:rFonts w:cs="Times New Roman"/>
                <w:color w:val="auto"/>
                <w:sz w:val="21"/>
                <w:szCs w:val="21"/>
              </w:rPr>
              <w:t>，用于储存粉末涂料、油性涂料、水性涂料、清洗剂、乳化油、</w:t>
            </w:r>
            <w:r>
              <w:rPr>
                <w:rFonts w:cs="Times New Roman"/>
                <w:color w:val="auto"/>
                <w:kern w:val="0"/>
                <w:sz w:val="21"/>
                <w:szCs w:val="21"/>
              </w:rPr>
              <w:t>粘合剂</w:t>
            </w:r>
            <w:r>
              <w:rPr>
                <w:rFonts w:cs="Times New Roman"/>
                <w:color w:val="auto"/>
                <w:sz w:val="21"/>
                <w:szCs w:val="21"/>
              </w:rPr>
              <w:t>、玻璃胶等原料</w:t>
            </w:r>
          </w:p>
        </w:tc>
        <w:tc>
          <w:tcPr>
            <w:tcW w:w="296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rPr>
                <w:rFonts w:cs="Times New Roman"/>
                <w:color w:val="auto"/>
                <w:sz w:val="21"/>
                <w:szCs w:val="21"/>
              </w:rPr>
            </w:pPr>
            <w:r>
              <w:rPr>
                <w:rFonts w:cs="Times New Roman"/>
                <w:color w:val="auto"/>
                <w:sz w:val="21"/>
                <w:szCs w:val="21"/>
              </w:rPr>
              <w:t>占地面积</w:t>
            </w:r>
            <w:r>
              <w:rPr>
                <w:rFonts w:hint="eastAsia" w:cs="Times New Roman"/>
                <w:color w:val="auto"/>
                <w:sz w:val="21"/>
                <w:szCs w:val="21"/>
              </w:rPr>
              <w:t>20</w:t>
            </w:r>
            <w:r>
              <w:rPr>
                <w:rFonts w:cs="Times New Roman"/>
                <w:color w:val="auto"/>
                <w:sz w:val="21"/>
                <w:szCs w:val="21"/>
              </w:rPr>
              <w:t>m</w:t>
            </w:r>
            <w:r>
              <w:rPr>
                <w:rFonts w:cs="Times New Roman"/>
                <w:color w:val="auto"/>
                <w:sz w:val="21"/>
                <w:szCs w:val="21"/>
                <w:vertAlign w:val="superscript"/>
              </w:rPr>
              <w:t>2</w:t>
            </w:r>
            <w:r>
              <w:rPr>
                <w:rFonts w:cs="Times New Roman"/>
                <w:color w:val="auto"/>
                <w:sz w:val="21"/>
                <w:szCs w:val="21"/>
              </w:rPr>
              <w:t>，用于储存粉末涂料、油性涂料、水性涂料、清洗剂、乳化油、</w:t>
            </w:r>
            <w:r>
              <w:rPr>
                <w:rFonts w:cs="Times New Roman"/>
                <w:color w:val="auto"/>
                <w:kern w:val="0"/>
                <w:sz w:val="21"/>
                <w:szCs w:val="21"/>
              </w:rPr>
              <w:t>粘合剂</w:t>
            </w:r>
            <w:r>
              <w:rPr>
                <w:rFonts w:cs="Times New Roman"/>
                <w:color w:val="auto"/>
                <w:sz w:val="21"/>
                <w:szCs w:val="21"/>
              </w:rPr>
              <w:t>、玻璃胶等原料</w:t>
            </w:r>
          </w:p>
        </w:tc>
        <w:tc>
          <w:tcPr>
            <w:tcW w:w="93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hint="eastAsia" w:cs="Times New Roman"/>
                <w:color w:val="auto"/>
                <w:sz w:val="21"/>
                <w:szCs w:val="21"/>
              </w:rPr>
              <w:t>占地面积由45.7</w:t>
            </w:r>
            <w:r>
              <w:rPr>
                <w:rFonts w:cs="Times New Roman"/>
                <w:color w:val="auto"/>
                <w:sz w:val="21"/>
                <w:szCs w:val="21"/>
              </w:rPr>
              <w:t>m</w:t>
            </w:r>
            <w:r>
              <w:rPr>
                <w:rFonts w:cs="Times New Roman"/>
                <w:color w:val="auto"/>
                <w:sz w:val="21"/>
                <w:szCs w:val="21"/>
                <w:vertAlign w:val="superscript"/>
              </w:rPr>
              <w:t>2</w:t>
            </w:r>
            <w:r>
              <w:rPr>
                <w:rFonts w:hint="eastAsia" w:cs="Times New Roman"/>
                <w:color w:val="auto"/>
                <w:sz w:val="21"/>
                <w:szCs w:val="21"/>
              </w:rPr>
              <w:t>减小为20</w:t>
            </w:r>
            <w:r>
              <w:rPr>
                <w:rFonts w:cs="Times New Roman"/>
                <w:color w:val="auto"/>
                <w:sz w:val="21"/>
                <w:szCs w:val="21"/>
              </w:rPr>
              <w:t>m</w:t>
            </w:r>
            <w:r>
              <w:rPr>
                <w:rFonts w:cs="Times New Roman"/>
                <w:color w:val="auto"/>
                <w:sz w:val="21"/>
                <w:szCs w:val="21"/>
                <w:vertAlign w:val="superscript"/>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272" w:hRule="atLeast"/>
          <w:jc w:val="center"/>
        </w:trPr>
        <w:tc>
          <w:tcPr>
            <w:tcW w:w="47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p>
        </w:tc>
        <w:tc>
          <w:tcPr>
            <w:tcW w:w="112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成品仓库</w:t>
            </w:r>
          </w:p>
        </w:tc>
        <w:tc>
          <w:tcPr>
            <w:tcW w:w="3143"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rPr>
                <w:rFonts w:cs="Times New Roman"/>
                <w:color w:val="auto"/>
                <w:sz w:val="21"/>
                <w:szCs w:val="21"/>
              </w:rPr>
            </w:pPr>
            <w:r>
              <w:rPr>
                <w:rFonts w:cs="Times New Roman"/>
                <w:color w:val="auto"/>
                <w:sz w:val="21"/>
                <w:szCs w:val="21"/>
              </w:rPr>
              <w:t>占地面积174.7m</w:t>
            </w:r>
            <w:r>
              <w:rPr>
                <w:rFonts w:cs="Times New Roman"/>
                <w:color w:val="auto"/>
                <w:sz w:val="21"/>
                <w:szCs w:val="21"/>
                <w:vertAlign w:val="superscript"/>
              </w:rPr>
              <w:t>2</w:t>
            </w:r>
            <w:r>
              <w:rPr>
                <w:rFonts w:cs="Times New Roman"/>
                <w:color w:val="auto"/>
                <w:sz w:val="21"/>
                <w:szCs w:val="21"/>
              </w:rPr>
              <w:t>，用于储存成品不锈钢烤漆大门和不锈钢喷粉大门</w:t>
            </w:r>
          </w:p>
        </w:tc>
        <w:tc>
          <w:tcPr>
            <w:tcW w:w="296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rPr>
                <w:rFonts w:cs="Times New Roman"/>
                <w:color w:val="auto"/>
                <w:sz w:val="21"/>
                <w:szCs w:val="21"/>
              </w:rPr>
            </w:pPr>
            <w:r>
              <w:rPr>
                <w:rFonts w:cs="Times New Roman"/>
                <w:color w:val="auto"/>
                <w:sz w:val="21"/>
                <w:szCs w:val="21"/>
              </w:rPr>
              <w:t>占地面积174.7m</w:t>
            </w:r>
            <w:r>
              <w:rPr>
                <w:rFonts w:cs="Times New Roman"/>
                <w:color w:val="auto"/>
                <w:sz w:val="21"/>
                <w:szCs w:val="21"/>
                <w:vertAlign w:val="superscript"/>
              </w:rPr>
              <w:t>2</w:t>
            </w:r>
            <w:r>
              <w:rPr>
                <w:rFonts w:cs="Times New Roman"/>
                <w:color w:val="auto"/>
                <w:sz w:val="21"/>
                <w:szCs w:val="21"/>
              </w:rPr>
              <w:t>，用于储存成品不锈钢烤漆大门和不锈钢喷粉大门</w:t>
            </w:r>
          </w:p>
        </w:tc>
        <w:tc>
          <w:tcPr>
            <w:tcW w:w="93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90" w:hRule="atLeast"/>
          <w:jc w:val="center"/>
        </w:trPr>
        <w:tc>
          <w:tcPr>
            <w:tcW w:w="470" w:type="dxa"/>
            <w:vMerge w:val="restart"/>
            <w:tcBorders>
              <w:top w:val="nil"/>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辅助</w:t>
            </w:r>
          </w:p>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工程</w:t>
            </w:r>
          </w:p>
        </w:tc>
        <w:tc>
          <w:tcPr>
            <w:tcW w:w="112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液化石油气区</w:t>
            </w:r>
          </w:p>
        </w:tc>
        <w:tc>
          <w:tcPr>
            <w:tcW w:w="3143"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rPr>
                <w:rFonts w:cs="Times New Roman"/>
                <w:color w:val="auto"/>
                <w:sz w:val="21"/>
                <w:szCs w:val="21"/>
              </w:rPr>
            </w:pPr>
            <w:r>
              <w:rPr>
                <w:rFonts w:cs="Times New Roman"/>
                <w:color w:val="auto"/>
                <w:sz w:val="21"/>
                <w:szCs w:val="21"/>
              </w:rPr>
              <w:t>位于生产车间内东北角，占地面积60m</w:t>
            </w:r>
            <w:r>
              <w:rPr>
                <w:rFonts w:cs="Times New Roman"/>
                <w:color w:val="auto"/>
                <w:sz w:val="21"/>
                <w:szCs w:val="21"/>
                <w:vertAlign w:val="superscript"/>
              </w:rPr>
              <w:t>2</w:t>
            </w:r>
            <w:r>
              <w:rPr>
                <w:rFonts w:cs="Times New Roman"/>
                <w:color w:val="auto"/>
                <w:sz w:val="21"/>
                <w:szCs w:val="21"/>
              </w:rPr>
              <w:t>，用于液化石油气储存及气化</w:t>
            </w:r>
          </w:p>
        </w:tc>
        <w:tc>
          <w:tcPr>
            <w:tcW w:w="296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rPr>
                <w:rFonts w:cs="Times New Roman"/>
                <w:color w:val="auto"/>
                <w:sz w:val="21"/>
                <w:szCs w:val="21"/>
              </w:rPr>
            </w:pPr>
            <w:r>
              <w:rPr>
                <w:rFonts w:cs="Times New Roman"/>
                <w:color w:val="auto"/>
                <w:sz w:val="21"/>
                <w:szCs w:val="21"/>
              </w:rPr>
              <w:t>位于生产车间内东北角，占地面积</w:t>
            </w:r>
            <w:r>
              <w:rPr>
                <w:rFonts w:hint="eastAsia" w:cs="Times New Roman"/>
                <w:color w:val="auto"/>
                <w:sz w:val="21"/>
                <w:szCs w:val="21"/>
              </w:rPr>
              <w:t>4</w:t>
            </w:r>
            <w:r>
              <w:rPr>
                <w:rFonts w:cs="Times New Roman"/>
                <w:color w:val="auto"/>
                <w:sz w:val="21"/>
                <w:szCs w:val="21"/>
              </w:rPr>
              <w:t>m</w:t>
            </w:r>
            <w:r>
              <w:rPr>
                <w:rFonts w:cs="Times New Roman"/>
                <w:color w:val="auto"/>
                <w:sz w:val="21"/>
                <w:szCs w:val="21"/>
                <w:vertAlign w:val="superscript"/>
              </w:rPr>
              <w:t>2</w:t>
            </w:r>
            <w:r>
              <w:rPr>
                <w:rFonts w:cs="Times New Roman"/>
                <w:color w:val="auto"/>
                <w:sz w:val="21"/>
                <w:szCs w:val="21"/>
              </w:rPr>
              <w:t>，用于液化石油气储存及气化</w:t>
            </w:r>
          </w:p>
        </w:tc>
        <w:tc>
          <w:tcPr>
            <w:tcW w:w="93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hint="eastAsia" w:cs="Times New Roman"/>
                <w:color w:val="auto"/>
                <w:sz w:val="21"/>
                <w:szCs w:val="21"/>
              </w:rPr>
              <w:t>占地面积由</w:t>
            </w:r>
            <w:r>
              <w:rPr>
                <w:rFonts w:cs="Times New Roman"/>
                <w:color w:val="auto"/>
                <w:sz w:val="21"/>
                <w:szCs w:val="21"/>
              </w:rPr>
              <w:t>60m</w:t>
            </w:r>
            <w:r>
              <w:rPr>
                <w:rFonts w:cs="Times New Roman"/>
                <w:color w:val="auto"/>
                <w:sz w:val="21"/>
                <w:szCs w:val="21"/>
                <w:vertAlign w:val="superscript"/>
              </w:rPr>
              <w:t>2</w:t>
            </w:r>
            <w:r>
              <w:rPr>
                <w:rFonts w:hint="eastAsia" w:cs="Times New Roman"/>
                <w:color w:val="auto"/>
                <w:sz w:val="21"/>
                <w:szCs w:val="21"/>
              </w:rPr>
              <w:t>减小为4</w:t>
            </w:r>
            <w:r>
              <w:rPr>
                <w:rFonts w:cs="Times New Roman"/>
                <w:color w:val="auto"/>
                <w:sz w:val="21"/>
                <w:szCs w:val="21"/>
              </w:rPr>
              <w:t>m</w:t>
            </w:r>
            <w:r>
              <w:rPr>
                <w:rFonts w:cs="Times New Roman"/>
                <w:color w:val="auto"/>
                <w:sz w:val="21"/>
                <w:szCs w:val="21"/>
                <w:vertAlign w:val="superscript"/>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90" w:hRule="atLeast"/>
          <w:jc w:val="center"/>
        </w:trPr>
        <w:tc>
          <w:tcPr>
            <w:tcW w:w="47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p>
        </w:tc>
        <w:tc>
          <w:tcPr>
            <w:tcW w:w="112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办公室</w:t>
            </w:r>
          </w:p>
        </w:tc>
        <w:tc>
          <w:tcPr>
            <w:tcW w:w="3143"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rPr>
                <w:rFonts w:cs="Times New Roman"/>
                <w:color w:val="auto"/>
                <w:sz w:val="21"/>
                <w:szCs w:val="21"/>
              </w:rPr>
            </w:pPr>
            <w:r>
              <w:rPr>
                <w:rFonts w:cs="Times New Roman"/>
                <w:color w:val="auto"/>
                <w:sz w:val="21"/>
                <w:szCs w:val="21"/>
              </w:rPr>
              <w:t>位于生产车间内西南角，占地面积248m</w:t>
            </w:r>
            <w:r>
              <w:rPr>
                <w:rFonts w:cs="Times New Roman"/>
                <w:color w:val="auto"/>
                <w:sz w:val="21"/>
                <w:szCs w:val="21"/>
                <w:vertAlign w:val="superscript"/>
              </w:rPr>
              <w:t>2</w:t>
            </w:r>
            <w:r>
              <w:rPr>
                <w:rFonts w:cs="Times New Roman"/>
                <w:color w:val="auto"/>
                <w:sz w:val="21"/>
                <w:szCs w:val="21"/>
              </w:rPr>
              <w:t>，用于办公</w:t>
            </w:r>
          </w:p>
        </w:tc>
        <w:tc>
          <w:tcPr>
            <w:tcW w:w="296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rPr>
                <w:rFonts w:cs="Times New Roman"/>
                <w:color w:val="auto"/>
                <w:sz w:val="21"/>
                <w:szCs w:val="21"/>
              </w:rPr>
            </w:pPr>
            <w:r>
              <w:rPr>
                <w:rFonts w:cs="Times New Roman"/>
                <w:color w:val="auto"/>
                <w:sz w:val="21"/>
                <w:szCs w:val="21"/>
              </w:rPr>
              <w:t>位于生产车间内西南角，占地面积248m</w:t>
            </w:r>
            <w:r>
              <w:rPr>
                <w:rFonts w:cs="Times New Roman"/>
                <w:color w:val="auto"/>
                <w:sz w:val="21"/>
                <w:szCs w:val="21"/>
                <w:vertAlign w:val="superscript"/>
              </w:rPr>
              <w:t>2</w:t>
            </w:r>
            <w:r>
              <w:rPr>
                <w:rFonts w:cs="Times New Roman"/>
                <w:color w:val="auto"/>
                <w:sz w:val="21"/>
                <w:szCs w:val="21"/>
              </w:rPr>
              <w:t>，用于办公</w:t>
            </w:r>
          </w:p>
        </w:tc>
        <w:tc>
          <w:tcPr>
            <w:tcW w:w="93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90" w:hRule="atLeast"/>
          <w:jc w:val="center"/>
        </w:trPr>
        <w:tc>
          <w:tcPr>
            <w:tcW w:w="47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p>
        </w:tc>
        <w:tc>
          <w:tcPr>
            <w:tcW w:w="112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厨房</w:t>
            </w:r>
          </w:p>
        </w:tc>
        <w:tc>
          <w:tcPr>
            <w:tcW w:w="3143"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rPr>
                <w:rFonts w:cs="Times New Roman"/>
                <w:color w:val="auto"/>
                <w:sz w:val="21"/>
                <w:szCs w:val="21"/>
              </w:rPr>
            </w:pPr>
            <w:r>
              <w:rPr>
                <w:rFonts w:cs="Times New Roman"/>
                <w:color w:val="auto"/>
                <w:sz w:val="21"/>
                <w:szCs w:val="21"/>
              </w:rPr>
              <w:t>位于生产车间外东北侧，占地面积100.36m</w:t>
            </w:r>
            <w:r>
              <w:rPr>
                <w:rFonts w:cs="Times New Roman"/>
                <w:color w:val="auto"/>
                <w:sz w:val="21"/>
                <w:szCs w:val="21"/>
                <w:vertAlign w:val="superscript"/>
              </w:rPr>
              <w:t>2</w:t>
            </w:r>
            <w:r>
              <w:rPr>
                <w:rFonts w:cs="Times New Roman"/>
                <w:color w:val="auto"/>
                <w:sz w:val="21"/>
                <w:szCs w:val="21"/>
              </w:rPr>
              <w:t>，用于员工就餐</w:t>
            </w:r>
          </w:p>
        </w:tc>
        <w:tc>
          <w:tcPr>
            <w:tcW w:w="296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rPr>
                <w:rFonts w:cs="Times New Roman"/>
                <w:color w:val="auto"/>
                <w:sz w:val="21"/>
                <w:szCs w:val="21"/>
              </w:rPr>
            </w:pPr>
            <w:r>
              <w:rPr>
                <w:rFonts w:cs="Times New Roman"/>
                <w:color w:val="auto"/>
                <w:sz w:val="21"/>
                <w:szCs w:val="21"/>
              </w:rPr>
              <w:t>位于生产车间外东北侧，占地面积100.36m</w:t>
            </w:r>
            <w:r>
              <w:rPr>
                <w:rFonts w:cs="Times New Roman"/>
                <w:color w:val="auto"/>
                <w:sz w:val="21"/>
                <w:szCs w:val="21"/>
                <w:vertAlign w:val="superscript"/>
              </w:rPr>
              <w:t>2</w:t>
            </w:r>
            <w:r>
              <w:rPr>
                <w:rFonts w:cs="Times New Roman"/>
                <w:color w:val="auto"/>
                <w:sz w:val="21"/>
                <w:szCs w:val="21"/>
              </w:rPr>
              <w:t>，用于员工就餐</w:t>
            </w:r>
          </w:p>
        </w:tc>
        <w:tc>
          <w:tcPr>
            <w:tcW w:w="93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90" w:hRule="atLeast"/>
          <w:jc w:val="center"/>
        </w:trPr>
        <w:tc>
          <w:tcPr>
            <w:tcW w:w="47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p>
        </w:tc>
        <w:tc>
          <w:tcPr>
            <w:tcW w:w="112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展厅</w:t>
            </w:r>
          </w:p>
        </w:tc>
        <w:tc>
          <w:tcPr>
            <w:tcW w:w="3143"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rPr>
                <w:rFonts w:cs="Times New Roman"/>
                <w:color w:val="auto"/>
                <w:sz w:val="21"/>
                <w:szCs w:val="21"/>
              </w:rPr>
            </w:pPr>
            <w:r>
              <w:rPr>
                <w:rFonts w:cs="Times New Roman"/>
                <w:color w:val="auto"/>
                <w:sz w:val="21"/>
                <w:szCs w:val="21"/>
              </w:rPr>
              <w:t>位于生产车间外内西北角，占地面积263m</w:t>
            </w:r>
            <w:r>
              <w:rPr>
                <w:rFonts w:cs="Times New Roman"/>
                <w:color w:val="auto"/>
                <w:sz w:val="21"/>
                <w:szCs w:val="21"/>
                <w:vertAlign w:val="superscript"/>
              </w:rPr>
              <w:t>2</w:t>
            </w:r>
            <w:r>
              <w:rPr>
                <w:rFonts w:cs="Times New Roman"/>
                <w:color w:val="auto"/>
                <w:sz w:val="21"/>
                <w:szCs w:val="21"/>
              </w:rPr>
              <w:t>，用于产品展示</w:t>
            </w:r>
          </w:p>
        </w:tc>
        <w:tc>
          <w:tcPr>
            <w:tcW w:w="296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rPr>
                <w:rFonts w:cs="Times New Roman"/>
                <w:color w:val="auto"/>
                <w:sz w:val="21"/>
                <w:szCs w:val="21"/>
              </w:rPr>
            </w:pPr>
            <w:r>
              <w:rPr>
                <w:rFonts w:cs="Times New Roman"/>
                <w:color w:val="auto"/>
                <w:sz w:val="21"/>
                <w:szCs w:val="21"/>
              </w:rPr>
              <w:t>位于生产车间外内西北角，占地面积263m</w:t>
            </w:r>
            <w:r>
              <w:rPr>
                <w:rFonts w:cs="Times New Roman"/>
                <w:color w:val="auto"/>
                <w:sz w:val="21"/>
                <w:szCs w:val="21"/>
                <w:vertAlign w:val="superscript"/>
              </w:rPr>
              <w:t>2</w:t>
            </w:r>
            <w:r>
              <w:rPr>
                <w:rFonts w:cs="Times New Roman"/>
                <w:color w:val="auto"/>
                <w:sz w:val="21"/>
                <w:szCs w:val="21"/>
              </w:rPr>
              <w:t>，用于产品展示</w:t>
            </w:r>
          </w:p>
        </w:tc>
        <w:tc>
          <w:tcPr>
            <w:tcW w:w="93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247" w:hRule="atLeast"/>
          <w:jc w:val="center"/>
        </w:trPr>
        <w:tc>
          <w:tcPr>
            <w:tcW w:w="470" w:type="dxa"/>
            <w:vMerge w:val="restart"/>
            <w:tcBorders>
              <w:top w:val="nil"/>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公用</w:t>
            </w:r>
          </w:p>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工程</w:t>
            </w:r>
          </w:p>
        </w:tc>
        <w:tc>
          <w:tcPr>
            <w:tcW w:w="112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供水工程</w:t>
            </w:r>
          </w:p>
        </w:tc>
        <w:tc>
          <w:tcPr>
            <w:tcW w:w="3143"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rPr>
                <w:rFonts w:cs="Times New Roman"/>
                <w:color w:val="auto"/>
                <w:sz w:val="21"/>
                <w:szCs w:val="21"/>
              </w:rPr>
            </w:pPr>
            <w:r>
              <w:rPr>
                <w:rFonts w:cs="Times New Roman"/>
                <w:color w:val="auto"/>
                <w:sz w:val="21"/>
                <w:szCs w:val="21"/>
              </w:rPr>
              <w:t>市政供水管网供应</w:t>
            </w:r>
          </w:p>
        </w:tc>
        <w:tc>
          <w:tcPr>
            <w:tcW w:w="296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rPr>
                <w:rFonts w:cs="Times New Roman"/>
                <w:color w:val="auto"/>
                <w:sz w:val="21"/>
                <w:szCs w:val="21"/>
              </w:rPr>
            </w:pPr>
            <w:r>
              <w:rPr>
                <w:rFonts w:cs="Times New Roman"/>
                <w:color w:val="auto"/>
                <w:sz w:val="21"/>
                <w:szCs w:val="21"/>
              </w:rPr>
              <w:t>市政供水管网供应</w:t>
            </w:r>
          </w:p>
        </w:tc>
        <w:tc>
          <w:tcPr>
            <w:tcW w:w="93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107" w:hRule="atLeast"/>
          <w:jc w:val="center"/>
        </w:trPr>
        <w:tc>
          <w:tcPr>
            <w:tcW w:w="47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p>
        </w:tc>
        <w:tc>
          <w:tcPr>
            <w:tcW w:w="112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供电工程</w:t>
            </w:r>
          </w:p>
        </w:tc>
        <w:tc>
          <w:tcPr>
            <w:tcW w:w="3143"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rPr>
                <w:rFonts w:cs="Times New Roman"/>
                <w:color w:val="auto"/>
                <w:sz w:val="21"/>
                <w:szCs w:val="21"/>
              </w:rPr>
            </w:pPr>
            <w:r>
              <w:rPr>
                <w:rFonts w:cs="Times New Roman"/>
                <w:color w:val="auto"/>
                <w:sz w:val="21"/>
                <w:szCs w:val="21"/>
              </w:rPr>
              <w:t>由市政电网供应，不设备用发电机</w:t>
            </w:r>
          </w:p>
        </w:tc>
        <w:tc>
          <w:tcPr>
            <w:tcW w:w="296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rPr>
                <w:rFonts w:cs="Times New Roman"/>
                <w:color w:val="auto"/>
                <w:sz w:val="21"/>
                <w:szCs w:val="21"/>
              </w:rPr>
            </w:pPr>
            <w:r>
              <w:rPr>
                <w:rFonts w:cs="Times New Roman"/>
                <w:color w:val="auto"/>
                <w:sz w:val="21"/>
                <w:szCs w:val="21"/>
              </w:rPr>
              <w:t>由市政电网供应，不设备用发电机</w:t>
            </w:r>
          </w:p>
        </w:tc>
        <w:tc>
          <w:tcPr>
            <w:tcW w:w="93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90" w:hRule="atLeast"/>
          <w:jc w:val="center"/>
        </w:trPr>
        <w:tc>
          <w:tcPr>
            <w:tcW w:w="47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p>
        </w:tc>
        <w:tc>
          <w:tcPr>
            <w:tcW w:w="112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排水工程</w:t>
            </w:r>
          </w:p>
        </w:tc>
        <w:tc>
          <w:tcPr>
            <w:tcW w:w="3143"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rPr>
                <w:rFonts w:cs="Times New Roman"/>
                <w:color w:val="auto"/>
                <w:sz w:val="21"/>
                <w:szCs w:val="21"/>
              </w:rPr>
            </w:pPr>
            <w:r>
              <w:rPr>
                <w:rFonts w:cs="Times New Roman"/>
                <w:color w:val="auto"/>
                <w:sz w:val="21"/>
                <w:szCs w:val="21"/>
              </w:rPr>
              <w:t>采用雨污分流制；雨水外排至雨水管网；生活污水通过市政污水管网进入</w:t>
            </w:r>
            <w:r>
              <w:rPr>
                <w:rFonts w:cs="Times New Roman"/>
                <w:color w:val="auto"/>
                <w:kern w:val="21"/>
                <w:sz w:val="21"/>
                <w:szCs w:val="21"/>
              </w:rPr>
              <w:t>水东湾新城水质净化厂</w:t>
            </w:r>
            <w:r>
              <w:rPr>
                <w:rFonts w:cs="Times New Roman"/>
                <w:color w:val="auto"/>
                <w:sz w:val="21"/>
                <w:szCs w:val="21"/>
              </w:rPr>
              <w:t>处理；生产废水（喷淋塔及水帘柜更换废水）近期通过槽罐车外运至茂名华清水务有限公司处理，远期待电白新材料产业园区污水处理厂建设完成后，达到进入园区污水处理厂处理。</w:t>
            </w:r>
          </w:p>
        </w:tc>
        <w:tc>
          <w:tcPr>
            <w:tcW w:w="296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rPr>
                <w:rFonts w:cs="Times New Roman"/>
                <w:color w:val="auto"/>
                <w:sz w:val="21"/>
                <w:szCs w:val="21"/>
              </w:rPr>
            </w:pPr>
            <w:r>
              <w:rPr>
                <w:rFonts w:cs="Times New Roman"/>
                <w:color w:val="auto"/>
                <w:sz w:val="21"/>
                <w:szCs w:val="21"/>
              </w:rPr>
              <w:t>采用雨污分流制；雨水外排至雨水管网；生活污水通过市政污水管网进入</w:t>
            </w:r>
            <w:r>
              <w:rPr>
                <w:rFonts w:cs="Times New Roman"/>
                <w:color w:val="auto"/>
                <w:kern w:val="21"/>
                <w:sz w:val="21"/>
                <w:szCs w:val="21"/>
              </w:rPr>
              <w:t>水东湾新城水质净化厂</w:t>
            </w:r>
            <w:r>
              <w:rPr>
                <w:rFonts w:cs="Times New Roman"/>
                <w:color w:val="auto"/>
                <w:sz w:val="21"/>
                <w:szCs w:val="21"/>
              </w:rPr>
              <w:t>处理；生产废水（喷淋塔及水帘柜更换废水）近期通过槽罐车外运至茂名华清水务有限公司处理，远期待电白新材料产业园区污水处理厂建设完成后，达到进入园区污水处理厂处理。</w:t>
            </w:r>
          </w:p>
        </w:tc>
        <w:tc>
          <w:tcPr>
            <w:tcW w:w="93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939" w:hRule="atLeast"/>
          <w:jc w:val="center"/>
        </w:trPr>
        <w:tc>
          <w:tcPr>
            <w:tcW w:w="470" w:type="dxa"/>
            <w:vMerge w:val="restart"/>
            <w:tcBorders>
              <w:top w:val="nil"/>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环保</w:t>
            </w:r>
          </w:p>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工程</w:t>
            </w:r>
          </w:p>
        </w:tc>
        <w:tc>
          <w:tcPr>
            <w:tcW w:w="112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废水</w:t>
            </w:r>
          </w:p>
        </w:tc>
        <w:tc>
          <w:tcPr>
            <w:tcW w:w="3143"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rPr>
                <w:rFonts w:cs="Times New Roman"/>
                <w:color w:val="auto"/>
                <w:sz w:val="21"/>
                <w:szCs w:val="21"/>
              </w:rPr>
            </w:pPr>
            <w:r>
              <w:rPr>
                <w:rFonts w:cs="Times New Roman"/>
                <w:color w:val="auto"/>
                <w:sz w:val="21"/>
                <w:szCs w:val="21"/>
              </w:rPr>
              <w:t>生活污水经三级化粪池处理达到《水污染物排放限值》(DB44/26-2001)第二时段三级标准后，通过市政污水管网进入</w:t>
            </w:r>
            <w:r>
              <w:rPr>
                <w:rFonts w:cs="Times New Roman"/>
                <w:color w:val="auto"/>
                <w:kern w:val="21"/>
                <w:sz w:val="21"/>
                <w:szCs w:val="21"/>
              </w:rPr>
              <w:t>水东湾新城水质净化厂</w:t>
            </w:r>
            <w:r>
              <w:rPr>
                <w:rFonts w:cs="Times New Roman"/>
                <w:color w:val="auto"/>
                <w:sz w:val="21"/>
                <w:szCs w:val="21"/>
              </w:rPr>
              <w:t>处理；生产废水（喷淋塔及水帘柜更换废水）近期达到茂名华清水务有限公司的进水标准通过槽罐车外运至茂名华清水务有限公司处理，远期待电白新材料产业园区污水处理厂建设完成后，达到园区污水处理厂的进水标准进入园区污水处理厂处理。</w:t>
            </w:r>
          </w:p>
        </w:tc>
        <w:tc>
          <w:tcPr>
            <w:tcW w:w="296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rPr>
                <w:rFonts w:cs="Times New Roman"/>
                <w:color w:val="auto"/>
                <w:sz w:val="21"/>
                <w:szCs w:val="21"/>
              </w:rPr>
            </w:pPr>
            <w:r>
              <w:rPr>
                <w:rFonts w:cs="Times New Roman"/>
                <w:color w:val="auto"/>
                <w:sz w:val="21"/>
                <w:szCs w:val="21"/>
              </w:rPr>
              <w:t>生活污水经三级化粪池处理达到《水污染物排放限值》(DB44/26-2001)第二时段三级标准后，通过市政污水管网进入</w:t>
            </w:r>
            <w:r>
              <w:rPr>
                <w:rFonts w:cs="Times New Roman"/>
                <w:color w:val="auto"/>
                <w:kern w:val="21"/>
                <w:sz w:val="21"/>
                <w:szCs w:val="21"/>
              </w:rPr>
              <w:t>水东湾新城水质净化厂</w:t>
            </w:r>
            <w:r>
              <w:rPr>
                <w:rFonts w:cs="Times New Roman"/>
                <w:color w:val="auto"/>
                <w:sz w:val="21"/>
                <w:szCs w:val="21"/>
              </w:rPr>
              <w:t>处理；生产废水（喷淋塔及水帘柜更换废水）近期达到茂名华清水务有限公司的进水标准通过槽罐车外运至茂名华清水务有限公司处理，远期待电白新材料产业园区污水处理厂建设完成后，达到园区污水处理厂的进水标准进入园区污水处理厂处理。</w:t>
            </w:r>
          </w:p>
        </w:tc>
        <w:tc>
          <w:tcPr>
            <w:tcW w:w="93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40" w:hRule="atLeast"/>
          <w:jc w:val="center"/>
        </w:trPr>
        <w:tc>
          <w:tcPr>
            <w:tcW w:w="47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p>
        </w:tc>
        <w:tc>
          <w:tcPr>
            <w:tcW w:w="112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jc w:val="center"/>
              <w:rPr>
                <w:rFonts w:cs="Times New Roman"/>
                <w:color w:val="auto"/>
                <w:sz w:val="21"/>
                <w:szCs w:val="21"/>
                <w:highlight w:val="yellow"/>
              </w:rPr>
            </w:pPr>
            <w:r>
              <w:rPr>
                <w:rFonts w:cs="Times New Roman"/>
                <w:color w:val="auto"/>
                <w:sz w:val="21"/>
                <w:szCs w:val="21"/>
              </w:rPr>
              <w:t>废气</w:t>
            </w:r>
          </w:p>
        </w:tc>
        <w:tc>
          <w:tcPr>
            <w:tcW w:w="3143"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numPr>
                <w:ilvl w:val="0"/>
                <w:numId w:val="2"/>
              </w:numPr>
              <w:adjustRightInd w:val="0"/>
              <w:snapToGrid w:val="0"/>
              <w:spacing w:line="240" w:lineRule="auto"/>
              <w:ind w:firstLineChars="0"/>
              <w:rPr>
                <w:rFonts w:cs="Times New Roman"/>
                <w:color w:val="auto"/>
                <w:sz w:val="21"/>
                <w:szCs w:val="21"/>
              </w:rPr>
            </w:pPr>
            <w:r>
              <w:rPr>
                <w:rFonts w:cs="Times New Roman"/>
                <w:color w:val="auto"/>
                <w:sz w:val="21"/>
                <w:szCs w:val="21"/>
              </w:rPr>
              <w:t>开料粉尘经重力</w:t>
            </w:r>
            <w:r>
              <w:rPr>
                <w:rFonts w:cs="Times New Roman"/>
                <w:color w:val="auto"/>
                <w:kern w:val="0"/>
                <w:sz w:val="21"/>
                <w:szCs w:val="21"/>
              </w:rPr>
              <w:t>自然沉降，</w:t>
            </w:r>
            <w:r>
              <w:rPr>
                <w:rFonts w:cs="Times New Roman"/>
                <w:color w:val="auto"/>
                <w:sz w:val="21"/>
                <w:szCs w:val="21"/>
              </w:rPr>
              <w:t>加强车间通风，无组织排放；</w:t>
            </w:r>
          </w:p>
          <w:p>
            <w:pPr>
              <w:numPr>
                <w:ilvl w:val="0"/>
                <w:numId w:val="2"/>
              </w:numPr>
              <w:adjustRightInd w:val="0"/>
              <w:snapToGrid w:val="0"/>
              <w:spacing w:line="240" w:lineRule="auto"/>
              <w:ind w:firstLineChars="0"/>
              <w:rPr>
                <w:rFonts w:cs="Times New Roman"/>
                <w:color w:val="auto"/>
                <w:sz w:val="21"/>
                <w:szCs w:val="21"/>
              </w:rPr>
            </w:pPr>
            <w:r>
              <w:rPr>
                <w:rFonts w:cs="Times New Roman"/>
                <w:color w:val="auto"/>
                <w:sz w:val="21"/>
                <w:szCs w:val="21"/>
              </w:rPr>
              <w:t>胶合、门扇封花、焊罗马头、装配、打磨工序中打磨粉尘经移动式简易布袋除尘器收集处理后无组织排放；</w:t>
            </w:r>
          </w:p>
          <w:p>
            <w:pPr>
              <w:adjustRightInd w:val="0"/>
              <w:snapToGrid w:val="0"/>
              <w:spacing w:line="240" w:lineRule="auto"/>
              <w:ind w:firstLine="0" w:firstLineChars="0"/>
              <w:rPr>
                <w:rFonts w:cs="Times New Roman"/>
                <w:color w:val="auto"/>
                <w:sz w:val="21"/>
                <w:szCs w:val="21"/>
              </w:rPr>
            </w:pPr>
            <w:r>
              <w:rPr>
                <w:rFonts w:cs="Times New Roman"/>
                <w:color w:val="auto"/>
                <w:sz w:val="21"/>
                <w:szCs w:val="21"/>
              </w:rPr>
              <w:t>（3）焊框、胶合、门扇封花、焊罗马头工序中焊接烟尘经移动式焊烟净化器收集处理后无组织排放；</w:t>
            </w:r>
          </w:p>
          <w:p>
            <w:pPr>
              <w:adjustRightInd w:val="0"/>
              <w:snapToGrid w:val="0"/>
              <w:spacing w:line="240" w:lineRule="auto"/>
              <w:ind w:firstLine="0" w:firstLineChars="0"/>
              <w:rPr>
                <w:rFonts w:cs="Times New Roman"/>
                <w:color w:val="auto"/>
                <w:sz w:val="21"/>
                <w:szCs w:val="21"/>
              </w:rPr>
            </w:pPr>
            <w:r>
              <w:rPr>
                <w:rFonts w:cs="Times New Roman"/>
                <w:color w:val="auto"/>
                <w:sz w:val="21"/>
                <w:szCs w:val="21"/>
              </w:rPr>
              <w:t>（4）冲孔有机废气经加强车间通风，无组织排放；</w:t>
            </w:r>
          </w:p>
          <w:p>
            <w:pPr>
              <w:adjustRightInd w:val="0"/>
              <w:snapToGrid w:val="0"/>
              <w:spacing w:line="240" w:lineRule="auto"/>
              <w:ind w:firstLine="0" w:firstLineChars="0"/>
              <w:rPr>
                <w:rFonts w:cs="Times New Roman"/>
                <w:color w:val="auto"/>
                <w:sz w:val="21"/>
                <w:szCs w:val="21"/>
              </w:rPr>
            </w:pPr>
            <w:r>
              <w:rPr>
                <w:rFonts w:cs="Times New Roman"/>
                <w:color w:val="auto"/>
                <w:sz w:val="21"/>
                <w:szCs w:val="21"/>
              </w:rPr>
              <w:t>（5）喷粉粉尘经“滤筒除尘器”处理后无组织排放；</w:t>
            </w:r>
          </w:p>
          <w:p>
            <w:pPr>
              <w:adjustRightInd w:val="0"/>
              <w:snapToGrid w:val="0"/>
              <w:spacing w:line="240" w:lineRule="auto"/>
              <w:ind w:firstLine="0" w:firstLineChars="0"/>
              <w:rPr>
                <w:rFonts w:cs="Times New Roman"/>
                <w:color w:val="auto"/>
                <w:kern w:val="0"/>
                <w:sz w:val="21"/>
                <w:szCs w:val="21"/>
              </w:rPr>
            </w:pPr>
            <w:r>
              <w:rPr>
                <w:rFonts w:cs="Times New Roman"/>
                <w:color w:val="auto"/>
                <w:sz w:val="21"/>
                <w:szCs w:val="21"/>
              </w:rPr>
              <w:t>（6）</w:t>
            </w:r>
            <w:r>
              <w:rPr>
                <w:rFonts w:cs="Times New Roman"/>
                <w:color w:val="auto"/>
                <w:kern w:val="0"/>
                <w:sz w:val="21"/>
                <w:szCs w:val="21"/>
              </w:rPr>
              <w:t>喷漆废气（喷漆房1）经密闭负压收集至水帘柜预处理后，调漆废气、危废间废气经密闭负压收集后，烘干废气（烤漆炉1）、喷粉固化废气经集气罩收集后，一起引至同一套“水喷淋+干式过滤+二级活性炭吸附”（TA001）处理后，</w:t>
            </w:r>
            <w:r>
              <w:rPr>
                <w:rFonts w:cs="Times New Roman"/>
                <w:color w:val="auto"/>
                <w:sz w:val="21"/>
                <w:szCs w:val="21"/>
              </w:rPr>
              <w:t>由15m排气筒DA001排放</w:t>
            </w:r>
            <w:r>
              <w:rPr>
                <w:rFonts w:cs="Times New Roman"/>
                <w:color w:val="auto"/>
                <w:kern w:val="0"/>
                <w:sz w:val="21"/>
                <w:szCs w:val="21"/>
              </w:rPr>
              <w:t>；</w:t>
            </w:r>
          </w:p>
          <w:p>
            <w:pPr>
              <w:adjustRightInd w:val="0"/>
              <w:snapToGrid w:val="0"/>
              <w:spacing w:line="240" w:lineRule="auto"/>
              <w:ind w:firstLine="0" w:firstLineChars="0"/>
              <w:rPr>
                <w:rFonts w:cs="Times New Roman"/>
                <w:color w:val="auto"/>
                <w:sz w:val="21"/>
                <w:szCs w:val="21"/>
              </w:rPr>
            </w:pPr>
            <w:r>
              <w:rPr>
                <w:rFonts w:cs="Times New Roman"/>
                <w:color w:val="auto"/>
                <w:kern w:val="0"/>
                <w:sz w:val="21"/>
                <w:szCs w:val="21"/>
              </w:rPr>
              <w:t>（7）喷漆废气（喷漆房2）经密闭负压收集至水帘柜预处理后，胶合有机废气、清抹有机废气经密闭负压收集后，烘干废气（烤漆炉2）经集气罩收集后，一起引至同一套“水喷淋+干式过滤+二级活性炭吸附”（TA002）处理后</w:t>
            </w:r>
            <w:r>
              <w:rPr>
                <w:rFonts w:cs="Times New Roman"/>
                <w:color w:val="auto"/>
                <w:sz w:val="21"/>
                <w:szCs w:val="21"/>
              </w:rPr>
              <w:t>，由15m排气筒DA002排放；</w:t>
            </w:r>
          </w:p>
          <w:p>
            <w:pPr>
              <w:adjustRightInd w:val="0"/>
              <w:snapToGrid w:val="0"/>
              <w:spacing w:line="240" w:lineRule="auto"/>
              <w:ind w:firstLine="0" w:firstLineChars="0"/>
              <w:rPr>
                <w:rFonts w:cs="Times New Roman"/>
                <w:color w:val="auto"/>
                <w:sz w:val="21"/>
                <w:szCs w:val="21"/>
              </w:rPr>
            </w:pPr>
            <w:r>
              <w:rPr>
                <w:rFonts w:cs="Times New Roman"/>
                <w:color w:val="auto"/>
                <w:sz w:val="21"/>
                <w:szCs w:val="21"/>
              </w:rPr>
              <w:t>（8）成品调试有机废气经加强车间通风，无组织排放；</w:t>
            </w:r>
          </w:p>
          <w:p>
            <w:pPr>
              <w:adjustRightInd w:val="0"/>
              <w:snapToGrid w:val="0"/>
              <w:spacing w:line="240" w:lineRule="auto"/>
              <w:ind w:firstLine="0" w:firstLineChars="0"/>
              <w:rPr>
                <w:rFonts w:cs="Times New Roman"/>
                <w:color w:val="auto"/>
                <w:sz w:val="21"/>
                <w:szCs w:val="21"/>
              </w:rPr>
            </w:pPr>
            <w:r>
              <w:rPr>
                <w:rFonts w:cs="Times New Roman"/>
                <w:color w:val="auto"/>
                <w:sz w:val="21"/>
                <w:szCs w:val="21"/>
              </w:rPr>
              <w:t>（9）厨房油烟废气经静电油烟净化器处理后，由专用烟管引至楼顶排放。</w:t>
            </w:r>
          </w:p>
        </w:tc>
        <w:tc>
          <w:tcPr>
            <w:tcW w:w="296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rPr>
                <w:rFonts w:cs="Times New Roman"/>
                <w:color w:val="auto"/>
                <w:sz w:val="21"/>
                <w:szCs w:val="21"/>
              </w:rPr>
            </w:pPr>
            <w:r>
              <w:rPr>
                <w:rFonts w:hint="eastAsia" w:cs="Times New Roman"/>
                <w:color w:val="auto"/>
                <w:sz w:val="21"/>
                <w:szCs w:val="21"/>
              </w:rPr>
              <w:t>（1）</w:t>
            </w:r>
            <w:r>
              <w:rPr>
                <w:rFonts w:cs="Times New Roman"/>
                <w:color w:val="auto"/>
                <w:sz w:val="21"/>
                <w:szCs w:val="21"/>
              </w:rPr>
              <w:t>开料粉尘经重力</w:t>
            </w:r>
            <w:r>
              <w:rPr>
                <w:rFonts w:cs="Times New Roman"/>
                <w:color w:val="auto"/>
                <w:kern w:val="0"/>
                <w:sz w:val="21"/>
                <w:szCs w:val="21"/>
              </w:rPr>
              <w:t>自然沉降，</w:t>
            </w:r>
            <w:r>
              <w:rPr>
                <w:rFonts w:cs="Times New Roman"/>
                <w:color w:val="auto"/>
                <w:sz w:val="21"/>
                <w:szCs w:val="21"/>
              </w:rPr>
              <w:t>加强车间通风，无组织排放；</w:t>
            </w:r>
          </w:p>
          <w:p>
            <w:pPr>
              <w:adjustRightInd w:val="0"/>
              <w:snapToGrid w:val="0"/>
              <w:spacing w:line="240" w:lineRule="auto"/>
              <w:ind w:firstLine="0" w:firstLineChars="0"/>
              <w:rPr>
                <w:rFonts w:cs="Times New Roman"/>
                <w:color w:val="auto"/>
                <w:sz w:val="21"/>
                <w:szCs w:val="21"/>
              </w:rPr>
            </w:pPr>
            <w:r>
              <w:rPr>
                <w:rFonts w:hint="eastAsia" w:cs="Times New Roman"/>
                <w:color w:val="auto"/>
                <w:sz w:val="21"/>
                <w:szCs w:val="21"/>
              </w:rPr>
              <w:t>（2）</w:t>
            </w:r>
            <w:r>
              <w:rPr>
                <w:rFonts w:cs="Times New Roman"/>
                <w:color w:val="auto"/>
                <w:sz w:val="21"/>
                <w:szCs w:val="21"/>
              </w:rPr>
              <w:t>胶合、门扇封花、焊罗马头、装配、打磨工序中打磨粉尘经移动式简易布袋除尘器收集处理后无组织排放；</w:t>
            </w:r>
          </w:p>
          <w:p>
            <w:pPr>
              <w:adjustRightInd w:val="0"/>
              <w:snapToGrid w:val="0"/>
              <w:spacing w:line="240" w:lineRule="auto"/>
              <w:ind w:firstLine="0" w:firstLineChars="0"/>
              <w:rPr>
                <w:rFonts w:cs="Times New Roman"/>
                <w:color w:val="auto"/>
                <w:sz w:val="21"/>
                <w:szCs w:val="21"/>
              </w:rPr>
            </w:pPr>
            <w:r>
              <w:rPr>
                <w:rFonts w:cs="Times New Roman"/>
                <w:color w:val="auto"/>
                <w:sz w:val="21"/>
                <w:szCs w:val="21"/>
              </w:rPr>
              <w:t>（3）焊框、胶合、门扇封花、焊罗马头工序中焊接烟尘经移动式焊烟净化器收集处理后无组织排放；</w:t>
            </w:r>
          </w:p>
          <w:p>
            <w:pPr>
              <w:adjustRightInd w:val="0"/>
              <w:snapToGrid w:val="0"/>
              <w:spacing w:line="240" w:lineRule="auto"/>
              <w:ind w:firstLine="0" w:firstLineChars="0"/>
              <w:rPr>
                <w:rFonts w:cs="Times New Roman"/>
                <w:color w:val="auto"/>
                <w:sz w:val="21"/>
                <w:szCs w:val="21"/>
              </w:rPr>
            </w:pPr>
            <w:r>
              <w:rPr>
                <w:rFonts w:cs="Times New Roman"/>
                <w:color w:val="auto"/>
                <w:sz w:val="21"/>
                <w:szCs w:val="21"/>
              </w:rPr>
              <w:t>（4）冲孔有机废气经加强车间通风，无组织排放；</w:t>
            </w:r>
          </w:p>
          <w:p>
            <w:pPr>
              <w:adjustRightInd w:val="0"/>
              <w:snapToGrid w:val="0"/>
              <w:spacing w:line="240" w:lineRule="auto"/>
              <w:ind w:firstLine="0" w:firstLineChars="0"/>
              <w:rPr>
                <w:rFonts w:cs="Times New Roman"/>
                <w:color w:val="auto"/>
                <w:sz w:val="21"/>
                <w:szCs w:val="21"/>
              </w:rPr>
            </w:pPr>
            <w:r>
              <w:rPr>
                <w:rFonts w:cs="Times New Roman"/>
                <w:color w:val="auto"/>
                <w:sz w:val="21"/>
                <w:szCs w:val="21"/>
              </w:rPr>
              <w:t>（5）喷粉粉尘经“滤筒除尘器”处理后无组织排放；</w:t>
            </w:r>
          </w:p>
          <w:p>
            <w:pPr>
              <w:adjustRightInd w:val="0"/>
              <w:snapToGrid w:val="0"/>
              <w:spacing w:line="240" w:lineRule="auto"/>
              <w:ind w:firstLine="0" w:firstLineChars="0"/>
              <w:rPr>
                <w:rFonts w:cs="Times New Roman"/>
                <w:color w:val="auto"/>
                <w:kern w:val="0"/>
                <w:sz w:val="21"/>
                <w:szCs w:val="21"/>
              </w:rPr>
            </w:pPr>
            <w:r>
              <w:rPr>
                <w:rFonts w:cs="Times New Roman"/>
                <w:color w:val="auto"/>
                <w:sz w:val="21"/>
                <w:szCs w:val="21"/>
              </w:rPr>
              <w:t>（6）</w:t>
            </w:r>
            <w:r>
              <w:rPr>
                <w:rFonts w:cs="Times New Roman"/>
                <w:color w:val="auto"/>
                <w:kern w:val="0"/>
                <w:sz w:val="21"/>
                <w:szCs w:val="21"/>
              </w:rPr>
              <w:t>喷漆废气（喷漆房1）经密闭负压收集至水帘柜预处理后，调漆废气、危废间废气</w:t>
            </w:r>
            <w:r>
              <w:rPr>
                <w:rFonts w:hint="eastAsia" w:cs="Times New Roman"/>
                <w:color w:val="auto"/>
                <w:kern w:val="0"/>
                <w:sz w:val="21"/>
                <w:szCs w:val="21"/>
              </w:rPr>
              <w:t>、</w:t>
            </w:r>
            <w:r>
              <w:rPr>
                <w:rFonts w:cs="Times New Roman"/>
                <w:color w:val="auto"/>
                <w:kern w:val="0"/>
                <w:sz w:val="21"/>
                <w:szCs w:val="21"/>
              </w:rPr>
              <w:t>胶合有机废气经密闭负压收集后，烘干废气（烤漆炉1）、喷粉固化废气经集气罩收集后，一起引至同一套“水喷淋+干式过滤+二级活性炭吸附”（TA001）处理后，</w:t>
            </w:r>
            <w:r>
              <w:rPr>
                <w:rFonts w:cs="Times New Roman"/>
                <w:color w:val="auto"/>
                <w:sz w:val="21"/>
                <w:szCs w:val="21"/>
              </w:rPr>
              <w:t>由15m排气筒DA001排放</w:t>
            </w:r>
            <w:r>
              <w:rPr>
                <w:rFonts w:cs="Times New Roman"/>
                <w:color w:val="auto"/>
                <w:kern w:val="0"/>
                <w:sz w:val="21"/>
                <w:szCs w:val="21"/>
              </w:rPr>
              <w:t>；</w:t>
            </w:r>
          </w:p>
          <w:p>
            <w:pPr>
              <w:adjustRightInd w:val="0"/>
              <w:snapToGrid w:val="0"/>
              <w:spacing w:line="240" w:lineRule="auto"/>
              <w:ind w:firstLine="0" w:firstLineChars="0"/>
              <w:rPr>
                <w:rFonts w:cs="Times New Roman"/>
                <w:color w:val="auto"/>
                <w:sz w:val="21"/>
                <w:szCs w:val="21"/>
              </w:rPr>
            </w:pPr>
            <w:r>
              <w:rPr>
                <w:rFonts w:cs="Times New Roman"/>
                <w:color w:val="auto"/>
                <w:kern w:val="0"/>
                <w:sz w:val="21"/>
                <w:szCs w:val="21"/>
              </w:rPr>
              <w:t>（7）喷漆废气（喷漆房2）经密闭负压收集至水帘柜预处理后，清抹有机废气经密闭负压收集后，烘干废气（烤漆炉2）经集气罩收集后，一起引至同一套“水喷淋+干式过滤+二级活性炭吸附”（TA002）处理后</w:t>
            </w:r>
            <w:r>
              <w:rPr>
                <w:rFonts w:cs="Times New Roman"/>
                <w:color w:val="auto"/>
                <w:sz w:val="21"/>
                <w:szCs w:val="21"/>
              </w:rPr>
              <w:t>，由15m排气筒DA002排放；</w:t>
            </w:r>
          </w:p>
          <w:p>
            <w:pPr>
              <w:adjustRightInd w:val="0"/>
              <w:snapToGrid w:val="0"/>
              <w:spacing w:line="240" w:lineRule="auto"/>
              <w:ind w:firstLine="0" w:firstLineChars="0"/>
              <w:rPr>
                <w:rFonts w:cs="Times New Roman"/>
                <w:color w:val="auto"/>
                <w:sz w:val="21"/>
                <w:szCs w:val="21"/>
              </w:rPr>
            </w:pPr>
            <w:r>
              <w:rPr>
                <w:rFonts w:cs="Times New Roman"/>
                <w:color w:val="auto"/>
                <w:sz w:val="21"/>
                <w:szCs w:val="21"/>
              </w:rPr>
              <w:t>（8）成品调试有机废气经加强车间通风，无组织排放；</w:t>
            </w:r>
          </w:p>
          <w:p>
            <w:pPr>
              <w:adjustRightInd w:val="0"/>
              <w:snapToGrid w:val="0"/>
              <w:spacing w:line="240" w:lineRule="auto"/>
              <w:ind w:firstLine="0" w:firstLineChars="0"/>
              <w:rPr>
                <w:rFonts w:cs="Times New Roman"/>
                <w:color w:val="auto"/>
                <w:sz w:val="21"/>
                <w:szCs w:val="21"/>
              </w:rPr>
            </w:pPr>
            <w:r>
              <w:rPr>
                <w:rFonts w:cs="Times New Roman"/>
                <w:color w:val="auto"/>
                <w:sz w:val="21"/>
                <w:szCs w:val="21"/>
              </w:rPr>
              <w:t>（9）厨房油烟废气经静电油烟净化器处理后，由专用烟管引至楼顶排放。</w:t>
            </w:r>
          </w:p>
        </w:tc>
        <w:tc>
          <w:tcPr>
            <w:tcW w:w="93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kern w:val="0"/>
                <w:sz w:val="21"/>
                <w:szCs w:val="21"/>
              </w:rPr>
              <w:t>胶合有机废气</w:t>
            </w:r>
            <w:r>
              <w:rPr>
                <w:rFonts w:hint="eastAsia" w:cs="Times New Roman"/>
                <w:color w:val="auto"/>
                <w:kern w:val="0"/>
                <w:sz w:val="21"/>
                <w:szCs w:val="21"/>
              </w:rPr>
              <w:t>由</w:t>
            </w:r>
            <w:r>
              <w:rPr>
                <w:rFonts w:cs="Times New Roman"/>
                <w:color w:val="auto"/>
                <w:sz w:val="21"/>
                <w:szCs w:val="21"/>
              </w:rPr>
              <w:t>DA00</w:t>
            </w:r>
            <w:r>
              <w:rPr>
                <w:rFonts w:hint="eastAsia" w:cs="Times New Roman"/>
                <w:color w:val="auto"/>
                <w:sz w:val="21"/>
                <w:szCs w:val="21"/>
              </w:rPr>
              <w:t>2排放，改为</w:t>
            </w:r>
            <w:r>
              <w:rPr>
                <w:rFonts w:hint="eastAsia" w:cs="Times New Roman"/>
                <w:color w:val="auto"/>
                <w:kern w:val="0"/>
                <w:sz w:val="21"/>
                <w:szCs w:val="21"/>
              </w:rPr>
              <w:t>由</w:t>
            </w:r>
            <w:r>
              <w:rPr>
                <w:rFonts w:cs="Times New Roman"/>
                <w:color w:val="auto"/>
                <w:sz w:val="21"/>
                <w:szCs w:val="21"/>
              </w:rPr>
              <w:t>DA00</w:t>
            </w:r>
            <w:r>
              <w:rPr>
                <w:rFonts w:hint="eastAsia" w:cs="Times New Roman"/>
                <w:color w:val="auto"/>
                <w:sz w:val="21"/>
                <w:szCs w:val="21"/>
              </w:rPr>
              <w:t>1排放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2116" w:hRule="atLeast"/>
          <w:jc w:val="center"/>
        </w:trPr>
        <w:tc>
          <w:tcPr>
            <w:tcW w:w="47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p>
        </w:tc>
        <w:tc>
          <w:tcPr>
            <w:tcW w:w="112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固体废物</w:t>
            </w:r>
          </w:p>
        </w:tc>
        <w:tc>
          <w:tcPr>
            <w:tcW w:w="3143"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rPr>
                <w:rFonts w:cs="Times New Roman"/>
                <w:color w:val="auto"/>
                <w:sz w:val="21"/>
                <w:szCs w:val="21"/>
              </w:rPr>
            </w:pPr>
            <w:r>
              <w:rPr>
                <w:rFonts w:cs="Times New Roman"/>
                <w:color w:val="auto"/>
                <w:sz w:val="21"/>
                <w:szCs w:val="21"/>
              </w:rPr>
              <w:t>（1）生活垃圾交由环卫部门处理。</w:t>
            </w:r>
          </w:p>
          <w:p>
            <w:pPr>
              <w:adjustRightInd w:val="0"/>
              <w:snapToGrid w:val="0"/>
              <w:spacing w:line="240" w:lineRule="auto"/>
              <w:ind w:firstLine="0" w:firstLineChars="0"/>
              <w:rPr>
                <w:rFonts w:cs="Times New Roman"/>
                <w:color w:val="auto"/>
                <w:sz w:val="21"/>
                <w:szCs w:val="21"/>
              </w:rPr>
            </w:pPr>
            <w:r>
              <w:rPr>
                <w:rFonts w:cs="Times New Roman"/>
                <w:color w:val="auto"/>
                <w:sz w:val="21"/>
                <w:szCs w:val="21"/>
              </w:rPr>
              <w:t>（2）一般工业固废：一般废包装材料、边角料、金属碎屑、焊渣、自然沉降粉尘、废滤筒及废布袋分类收集后暂存在一般固废间（15m</w:t>
            </w:r>
            <w:r>
              <w:rPr>
                <w:rFonts w:cs="Times New Roman"/>
                <w:color w:val="auto"/>
                <w:sz w:val="21"/>
                <w:szCs w:val="21"/>
                <w:vertAlign w:val="superscript"/>
              </w:rPr>
              <w:t>2</w:t>
            </w:r>
            <w:r>
              <w:rPr>
                <w:rFonts w:cs="Times New Roman"/>
                <w:color w:val="auto"/>
                <w:sz w:val="21"/>
                <w:szCs w:val="21"/>
              </w:rPr>
              <w:t>），定期交由</w:t>
            </w:r>
            <w:r>
              <w:rPr>
                <w:rFonts w:cs="Times New Roman"/>
                <w:bCs/>
                <w:color w:val="auto"/>
                <w:sz w:val="21"/>
                <w:szCs w:val="21"/>
              </w:rPr>
              <w:t>有处理能力的单位处理</w:t>
            </w:r>
            <w:r>
              <w:rPr>
                <w:rFonts w:cs="Times New Roman"/>
                <w:color w:val="auto"/>
                <w:sz w:val="21"/>
                <w:szCs w:val="21"/>
              </w:rPr>
              <w:t>。</w:t>
            </w:r>
          </w:p>
          <w:p>
            <w:pPr>
              <w:adjustRightInd w:val="0"/>
              <w:snapToGrid w:val="0"/>
              <w:spacing w:line="240" w:lineRule="auto"/>
              <w:ind w:firstLine="0" w:firstLineChars="0"/>
              <w:rPr>
                <w:rFonts w:cs="Times New Roman"/>
                <w:color w:val="auto"/>
                <w:sz w:val="21"/>
                <w:szCs w:val="21"/>
              </w:rPr>
            </w:pPr>
            <w:r>
              <w:rPr>
                <w:rFonts w:cs="Times New Roman"/>
                <w:color w:val="auto"/>
                <w:sz w:val="21"/>
                <w:szCs w:val="21"/>
              </w:rPr>
              <w:t>（3）危险废物：废机油、废液压油、废乳化油、沾染乳化油的金属碎屑、废机油桶、废液压油桶、废乳化油桶、废清洗剂桶、废青铜油漆桶、废青铜漆稀释剂桶、废拉丝漆桶、废拉丝漆稀释剂桶、废亚克力光油桶、废亚克力光油稀释剂桶、废纯水性色漆桶、废纯水性清漆桶、废粘合剂桶、漆渣、废干式过滤器介质、废活性炭、废清抹布、废拉丝布、废含油抹布及手套分类收集后暂存在危废间（22m</w:t>
            </w:r>
            <w:r>
              <w:rPr>
                <w:rFonts w:cs="Times New Roman"/>
                <w:color w:val="auto"/>
                <w:sz w:val="21"/>
                <w:szCs w:val="21"/>
                <w:vertAlign w:val="superscript"/>
              </w:rPr>
              <w:t>2</w:t>
            </w:r>
            <w:r>
              <w:rPr>
                <w:rFonts w:cs="Times New Roman"/>
                <w:color w:val="auto"/>
                <w:sz w:val="21"/>
                <w:szCs w:val="21"/>
              </w:rPr>
              <w:t>），定期交有危废资质的单位处置。</w:t>
            </w:r>
          </w:p>
        </w:tc>
        <w:tc>
          <w:tcPr>
            <w:tcW w:w="296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rPr>
                <w:rFonts w:cs="Times New Roman"/>
                <w:color w:val="auto"/>
                <w:sz w:val="21"/>
                <w:szCs w:val="21"/>
              </w:rPr>
            </w:pPr>
            <w:r>
              <w:rPr>
                <w:rFonts w:cs="Times New Roman"/>
                <w:color w:val="auto"/>
                <w:sz w:val="21"/>
                <w:szCs w:val="21"/>
              </w:rPr>
              <w:t>（1）生活垃圾交由环卫部门处理。</w:t>
            </w:r>
          </w:p>
          <w:p>
            <w:pPr>
              <w:adjustRightInd w:val="0"/>
              <w:snapToGrid w:val="0"/>
              <w:spacing w:line="240" w:lineRule="auto"/>
              <w:ind w:firstLine="0" w:firstLineChars="0"/>
              <w:rPr>
                <w:rFonts w:cs="Times New Roman"/>
                <w:color w:val="auto"/>
                <w:sz w:val="21"/>
                <w:szCs w:val="21"/>
              </w:rPr>
            </w:pPr>
            <w:r>
              <w:rPr>
                <w:rFonts w:cs="Times New Roman"/>
                <w:color w:val="auto"/>
                <w:sz w:val="21"/>
                <w:szCs w:val="21"/>
              </w:rPr>
              <w:t>（2）一般工业固废：一般废包装材料、边角料、金属碎屑、焊渣、自然沉降粉尘、废滤筒及废布袋分类收集后暂存在一般固废间（</w:t>
            </w:r>
            <w:r>
              <w:rPr>
                <w:rFonts w:hint="eastAsia" w:cs="Times New Roman"/>
                <w:color w:val="auto"/>
                <w:sz w:val="21"/>
                <w:szCs w:val="21"/>
              </w:rPr>
              <w:t>8</w:t>
            </w:r>
            <w:r>
              <w:rPr>
                <w:rFonts w:cs="Times New Roman"/>
                <w:color w:val="auto"/>
                <w:sz w:val="21"/>
                <w:szCs w:val="21"/>
              </w:rPr>
              <w:t>m</w:t>
            </w:r>
            <w:r>
              <w:rPr>
                <w:rFonts w:cs="Times New Roman"/>
                <w:color w:val="auto"/>
                <w:sz w:val="21"/>
                <w:szCs w:val="21"/>
                <w:vertAlign w:val="superscript"/>
              </w:rPr>
              <w:t>2</w:t>
            </w:r>
            <w:r>
              <w:rPr>
                <w:rFonts w:cs="Times New Roman"/>
                <w:color w:val="auto"/>
                <w:sz w:val="21"/>
                <w:szCs w:val="21"/>
              </w:rPr>
              <w:t>），定期交由</w:t>
            </w:r>
            <w:r>
              <w:rPr>
                <w:rFonts w:cs="Times New Roman"/>
                <w:bCs/>
                <w:color w:val="auto"/>
                <w:sz w:val="21"/>
                <w:szCs w:val="21"/>
              </w:rPr>
              <w:t>有处理能力的单位处理</w:t>
            </w:r>
            <w:r>
              <w:rPr>
                <w:rFonts w:cs="Times New Roman"/>
                <w:color w:val="auto"/>
                <w:sz w:val="21"/>
                <w:szCs w:val="21"/>
              </w:rPr>
              <w:t>。</w:t>
            </w:r>
          </w:p>
          <w:p>
            <w:pPr>
              <w:adjustRightInd w:val="0"/>
              <w:snapToGrid w:val="0"/>
              <w:spacing w:line="240" w:lineRule="auto"/>
              <w:ind w:firstLine="0" w:firstLineChars="0"/>
              <w:rPr>
                <w:rFonts w:cs="Times New Roman"/>
                <w:color w:val="auto"/>
                <w:sz w:val="21"/>
                <w:szCs w:val="21"/>
              </w:rPr>
            </w:pPr>
            <w:r>
              <w:rPr>
                <w:rFonts w:cs="Times New Roman"/>
                <w:color w:val="auto"/>
                <w:sz w:val="21"/>
                <w:szCs w:val="21"/>
              </w:rPr>
              <w:t>（3）危险废物：废机油、废液压油、废乳化油、沾染乳化油的金属碎屑、废机油桶、废液压油桶、废乳化油桶、废清洗剂桶、废青铜油漆桶、废青铜漆稀释剂桶、废拉丝漆桶、废拉丝漆稀释剂桶、废亚克力光油桶、废亚克力光油稀释剂桶、废纯水性色漆桶、废纯水性清漆桶、废粘合剂桶、漆渣、废干式过滤器介质、废活性炭、废清抹布、废拉丝布、废含油抹布及手套分类收集后暂存在危废间（</w:t>
            </w:r>
            <w:r>
              <w:rPr>
                <w:rFonts w:hint="eastAsia" w:cs="Times New Roman"/>
                <w:color w:val="auto"/>
                <w:sz w:val="21"/>
                <w:szCs w:val="21"/>
              </w:rPr>
              <w:t>12</w:t>
            </w:r>
            <w:r>
              <w:rPr>
                <w:rFonts w:cs="Times New Roman"/>
                <w:color w:val="auto"/>
                <w:sz w:val="21"/>
                <w:szCs w:val="21"/>
              </w:rPr>
              <w:t>m</w:t>
            </w:r>
            <w:r>
              <w:rPr>
                <w:rFonts w:cs="Times New Roman"/>
                <w:color w:val="auto"/>
                <w:sz w:val="21"/>
                <w:szCs w:val="21"/>
                <w:vertAlign w:val="superscript"/>
              </w:rPr>
              <w:t>2</w:t>
            </w:r>
            <w:r>
              <w:rPr>
                <w:rFonts w:cs="Times New Roman"/>
                <w:color w:val="auto"/>
                <w:sz w:val="21"/>
                <w:szCs w:val="21"/>
              </w:rPr>
              <w:t>），定期交有危废资质的单位处置。</w:t>
            </w:r>
          </w:p>
        </w:tc>
        <w:tc>
          <w:tcPr>
            <w:tcW w:w="93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一般固废间</w:t>
            </w:r>
            <w:r>
              <w:rPr>
                <w:rFonts w:hint="eastAsia" w:cs="Times New Roman"/>
                <w:color w:val="auto"/>
                <w:sz w:val="21"/>
                <w:szCs w:val="21"/>
              </w:rPr>
              <w:t>占地面积由15</w:t>
            </w:r>
            <w:r>
              <w:rPr>
                <w:rFonts w:cs="Times New Roman"/>
                <w:color w:val="auto"/>
                <w:sz w:val="21"/>
                <w:szCs w:val="21"/>
              </w:rPr>
              <w:t>m</w:t>
            </w:r>
            <w:r>
              <w:rPr>
                <w:rFonts w:cs="Times New Roman"/>
                <w:color w:val="auto"/>
                <w:sz w:val="21"/>
                <w:szCs w:val="21"/>
                <w:vertAlign w:val="superscript"/>
              </w:rPr>
              <w:t>2</w:t>
            </w:r>
            <w:r>
              <w:rPr>
                <w:rFonts w:hint="eastAsia" w:cs="Times New Roman"/>
                <w:color w:val="auto"/>
                <w:sz w:val="21"/>
                <w:szCs w:val="21"/>
              </w:rPr>
              <w:t>减小为8</w:t>
            </w:r>
            <w:r>
              <w:rPr>
                <w:rFonts w:cs="Times New Roman"/>
                <w:color w:val="auto"/>
                <w:sz w:val="21"/>
                <w:szCs w:val="21"/>
              </w:rPr>
              <w:t>m</w:t>
            </w:r>
            <w:r>
              <w:rPr>
                <w:rFonts w:cs="Times New Roman"/>
                <w:color w:val="auto"/>
                <w:sz w:val="21"/>
                <w:szCs w:val="21"/>
                <w:vertAlign w:val="superscript"/>
              </w:rPr>
              <w:t>2</w:t>
            </w:r>
            <w:r>
              <w:rPr>
                <w:rFonts w:hint="eastAsia" w:cs="Times New Roman"/>
                <w:color w:val="auto"/>
                <w:sz w:val="21"/>
                <w:szCs w:val="21"/>
              </w:rPr>
              <w:t>，危废间占地面积由22</w:t>
            </w:r>
            <w:r>
              <w:rPr>
                <w:rFonts w:cs="Times New Roman"/>
                <w:color w:val="auto"/>
                <w:sz w:val="21"/>
                <w:szCs w:val="21"/>
              </w:rPr>
              <w:t>m</w:t>
            </w:r>
            <w:r>
              <w:rPr>
                <w:rFonts w:cs="Times New Roman"/>
                <w:color w:val="auto"/>
                <w:sz w:val="21"/>
                <w:szCs w:val="21"/>
                <w:vertAlign w:val="superscript"/>
              </w:rPr>
              <w:t>2</w:t>
            </w:r>
            <w:r>
              <w:rPr>
                <w:rFonts w:hint="eastAsia" w:cs="Times New Roman"/>
                <w:color w:val="auto"/>
                <w:sz w:val="21"/>
                <w:szCs w:val="21"/>
              </w:rPr>
              <w:t>减小为12</w:t>
            </w:r>
            <w:r>
              <w:rPr>
                <w:rFonts w:cs="Times New Roman"/>
                <w:color w:val="auto"/>
                <w:sz w:val="21"/>
                <w:szCs w:val="21"/>
              </w:rPr>
              <w:t>m</w:t>
            </w:r>
            <w:r>
              <w:rPr>
                <w:rFonts w:cs="Times New Roman"/>
                <w:color w:val="auto"/>
                <w:sz w:val="21"/>
                <w:szCs w:val="21"/>
                <w:vertAlign w:val="superscript"/>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246" w:hRule="atLeast"/>
          <w:jc w:val="center"/>
        </w:trPr>
        <w:tc>
          <w:tcPr>
            <w:tcW w:w="47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p>
        </w:tc>
        <w:tc>
          <w:tcPr>
            <w:tcW w:w="112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噪声</w:t>
            </w:r>
          </w:p>
        </w:tc>
        <w:tc>
          <w:tcPr>
            <w:tcW w:w="3143"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adjustRightInd w:val="0"/>
              <w:snapToGrid w:val="0"/>
              <w:spacing w:line="240" w:lineRule="auto"/>
              <w:ind w:firstLine="0" w:firstLineChars="0"/>
              <w:rPr>
                <w:rFonts w:cs="Times New Roman"/>
                <w:color w:val="auto"/>
                <w:sz w:val="21"/>
                <w:szCs w:val="21"/>
              </w:rPr>
            </w:pPr>
            <w:r>
              <w:rPr>
                <w:rFonts w:cs="Times New Roman"/>
                <w:color w:val="auto"/>
                <w:sz w:val="21"/>
                <w:szCs w:val="21"/>
              </w:rPr>
              <w:t>采用低噪声设备、大型设备和高噪声设备采取基础减振，通过对厂区设备合理布局，做好日常维护，充分利用距离衰减和墙体隔声等措施降低噪声</w:t>
            </w:r>
          </w:p>
        </w:tc>
        <w:tc>
          <w:tcPr>
            <w:tcW w:w="296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rPr>
                <w:rFonts w:cs="Times New Roman"/>
                <w:color w:val="auto"/>
                <w:sz w:val="21"/>
                <w:szCs w:val="21"/>
              </w:rPr>
            </w:pPr>
            <w:r>
              <w:rPr>
                <w:rFonts w:cs="Times New Roman"/>
                <w:color w:val="auto"/>
                <w:sz w:val="21"/>
                <w:szCs w:val="21"/>
              </w:rPr>
              <w:t>采用低噪声设备、大型设备和高噪声设备采取基础减振，通过对厂区设备合理布局，做好日常维护，充分利用距离衰减和墙体隔声等措施降低噪声</w:t>
            </w:r>
          </w:p>
        </w:tc>
        <w:tc>
          <w:tcPr>
            <w:tcW w:w="93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一致</w:t>
            </w:r>
          </w:p>
        </w:tc>
      </w:tr>
      <w:bookmarkEnd w:id="16"/>
    </w:tbl>
    <w:p>
      <w:pPr>
        <w:pStyle w:val="37"/>
        <w:rPr>
          <w:color w:val="auto"/>
        </w:rPr>
      </w:pPr>
      <w:bookmarkStart w:id="17" w:name="_Ref102980718"/>
      <w:r>
        <w:rPr>
          <w:rFonts w:hint="eastAsia"/>
          <w:color w:val="auto"/>
        </w:rPr>
        <w:t xml:space="preserve">表 </w:t>
      </w:r>
      <w:r>
        <w:rPr>
          <w:color w:val="auto"/>
        </w:rPr>
        <w:fldChar w:fldCharType="begin"/>
      </w:r>
      <w:r>
        <w:rPr>
          <w:color w:val="auto"/>
        </w:rPr>
        <w:instrText xml:space="preserve"> </w:instrText>
      </w:r>
      <w:r>
        <w:rPr>
          <w:rFonts w:hint="eastAsia"/>
          <w:color w:val="auto"/>
        </w:rPr>
        <w:instrText xml:space="preserve">STYLEREF 2 \s</w:instrText>
      </w:r>
      <w:r>
        <w:rPr>
          <w:color w:val="auto"/>
        </w:rPr>
        <w:instrText xml:space="preserve"> </w:instrText>
      </w:r>
      <w:r>
        <w:rPr>
          <w:color w:val="auto"/>
        </w:rPr>
        <w:fldChar w:fldCharType="separate"/>
      </w:r>
      <w:r>
        <w:rPr>
          <w:rFonts w:hint="eastAsia"/>
          <w:color w:val="auto"/>
        </w:rPr>
        <w:t>3</w:t>
      </w:r>
      <w:r>
        <w:rPr>
          <w:color w:val="auto"/>
        </w:rPr>
        <w:t>.2</w:t>
      </w:r>
      <w:r>
        <w:rPr>
          <w:color w:val="auto"/>
        </w:rPr>
        <w:fldChar w:fldCharType="end"/>
      </w:r>
      <w:r>
        <w:rPr>
          <w:color w:val="auto"/>
        </w:rPr>
        <w:noBreakHyphen/>
      </w:r>
      <w:r>
        <w:rPr>
          <w:color w:val="auto"/>
        </w:rPr>
        <w:fldChar w:fldCharType="begin"/>
      </w:r>
      <w:r>
        <w:rPr>
          <w:color w:val="auto"/>
        </w:rPr>
        <w:instrText xml:space="preserve"> </w:instrText>
      </w:r>
      <w:r>
        <w:rPr>
          <w:rFonts w:hint="eastAsia"/>
          <w:color w:val="auto"/>
        </w:rPr>
        <w:instrText xml:space="preserve">SEQ 表 \* ARABIC \s 2</w:instrText>
      </w:r>
      <w:r>
        <w:rPr>
          <w:color w:val="auto"/>
        </w:rPr>
        <w:instrText xml:space="preserve"> </w:instrText>
      </w:r>
      <w:r>
        <w:rPr>
          <w:color w:val="auto"/>
        </w:rPr>
        <w:fldChar w:fldCharType="separate"/>
      </w:r>
      <w:r>
        <w:rPr>
          <w:color w:val="auto"/>
        </w:rPr>
        <w:t>2</w:t>
      </w:r>
      <w:r>
        <w:rPr>
          <w:color w:val="auto"/>
        </w:rPr>
        <w:fldChar w:fldCharType="end"/>
      </w:r>
      <w:bookmarkEnd w:id="17"/>
      <w:r>
        <w:rPr>
          <w:color w:val="auto"/>
        </w:rPr>
        <w:t xml:space="preserve"> </w:t>
      </w:r>
      <w:r>
        <w:rPr>
          <w:rFonts w:hint="eastAsia"/>
          <w:color w:val="auto"/>
        </w:rPr>
        <w:t>本项目主要生产设备</w:t>
      </w:r>
    </w:p>
    <w:tbl>
      <w:tblPr>
        <w:tblStyle w:val="24"/>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9"/>
        <w:gridCol w:w="459"/>
        <w:gridCol w:w="461"/>
        <w:gridCol w:w="1624"/>
        <w:gridCol w:w="2125"/>
        <w:gridCol w:w="1095"/>
        <w:gridCol w:w="1148"/>
        <w:gridCol w:w="10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5" w:hRule="atLeast"/>
        </w:trPr>
        <w:tc>
          <w:tcPr>
            <w:tcW w:w="53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rPr>
                <w:rFonts w:cs="Times New Roman"/>
                <w:color w:val="auto"/>
                <w:sz w:val="21"/>
                <w:szCs w:val="21"/>
              </w:rPr>
            </w:pPr>
            <w:bookmarkStart w:id="18" w:name="_Hlk217380523"/>
            <w:r>
              <w:rPr>
                <w:rFonts w:hint="eastAsia" w:ascii="宋体" w:hAnsi="宋体" w:cs="Times New Roman"/>
                <w:color w:val="auto"/>
                <w:sz w:val="21"/>
                <w:szCs w:val="21"/>
              </w:rPr>
              <w:t>序号</w:t>
            </w:r>
          </w:p>
        </w:tc>
        <w:tc>
          <w:tcPr>
            <w:tcW w:w="920" w:type="dxa"/>
            <w:gridSpan w:val="2"/>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主要生产单位</w:t>
            </w:r>
          </w:p>
        </w:tc>
        <w:tc>
          <w:tcPr>
            <w:tcW w:w="1624"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ascii="宋体" w:hAnsi="宋体" w:cs="Times New Roman"/>
                <w:color w:val="auto"/>
                <w:sz w:val="21"/>
                <w:szCs w:val="21"/>
              </w:rPr>
              <w:t>设备名称</w:t>
            </w:r>
          </w:p>
        </w:tc>
        <w:tc>
          <w:tcPr>
            <w:tcW w:w="212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ascii="宋体" w:hAnsi="宋体" w:cs="Times New Roman"/>
                <w:color w:val="auto"/>
                <w:sz w:val="21"/>
                <w:szCs w:val="21"/>
              </w:rPr>
              <w:t>规格</w:t>
            </w:r>
            <w:r>
              <w:rPr>
                <w:rFonts w:cs="Times New Roman"/>
                <w:color w:val="auto"/>
                <w:sz w:val="21"/>
                <w:szCs w:val="21"/>
              </w:rPr>
              <w:t>(</w:t>
            </w:r>
            <w:r>
              <w:rPr>
                <w:rFonts w:ascii="宋体" w:hAnsi="宋体" w:cs="Times New Roman"/>
                <w:color w:val="auto"/>
                <w:sz w:val="21"/>
                <w:szCs w:val="21"/>
              </w:rPr>
              <w:t>型号</w:t>
            </w:r>
            <w:r>
              <w:rPr>
                <w:rFonts w:cs="Times New Roman"/>
                <w:color w:val="auto"/>
                <w:sz w:val="21"/>
                <w:szCs w:val="21"/>
              </w:rPr>
              <w:t>)</w:t>
            </w:r>
          </w:p>
        </w:tc>
        <w:tc>
          <w:tcPr>
            <w:tcW w:w="109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环评</w:t>
            </w:r>
            <w:r>
              <w:rPr>
                <w:rFonts w:ascii="宋体" w:hAnsi="宋体" w:cs="Times New Roman"/>
                <w:color w:val="auto"/>
                <w:sz w:val="21"/>
                <w:szCs w:val="21"/>
              </w:rPr>
              <w:t>数量</w:t>
            </w:r>
          </w:p>
        </w:tc>
        <w:tc>
          <w:tcPr>
            <w:tcW w:w="1148"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ascii="宋体" w:hAnsi="宋体" w:cs="Times New Roman"/>
                <w:color w:val="auto"/>
                <w:sz w:val="21"/>
                <w:szCs w:val="21"/>
              </w:rPr>
              <w:t>实际数量</w:t>
            </w:r>
          </w:p>
        </w:tc>
        <w:tc>
          <w:tcPr>
            <w:tcW w:w="1071"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ascii="宋体" w:hAnsi="宋体" w:cs="Times New Roman"/>
                <w:color w:val="auto"/>
                <w:sz w:val="21"/>
                <w:szCs w:val="21"/>
              </w:rPr>
              <w:t>变化</w:t>
            </w:r>
          </w:p>
          <w:p>
            <w:pPr>
              <w:spacing w:line="280" w:lineRule="exact"/>
              <w:ind w:firstLine="0" w:firstLineChars="0"/>
              <w:jc w:val="center"/>
              <w:rPr>
                <w:rFonts w:hint="eastAsia" w:ascii="宋体" w:hAnsi="宋体" w:cs="Times New Roman"/>
                <w:color w:val="auto"/>
                <w:sz w:val="21"/>
                <w:szCs w:val="21"/>
              </w:rPr>
            </w:pPr>
            <w:r>
              <w:rPr>
                <w:rFonts w:hint="eastAsia" w:ascii="宋体" w:hAnsi="宋体" w:cs="Times New Roman"/>
                <w:color w:val="auto"/>
                <w:sz w:val="21"/>
                <w:szCs w:val="21"/>
              </w:rPr>
              <w:t>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5" w:hRule="atLeast"/>
        </w:trPr>
        <w:tc>
          <w:tcPr>
            <w:tcW w:w="53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1</w:t>
            </w:r>
          </w:p>
        </w:tc>
        <w:tc>
          <w:tcPr>
            <w:tcW w:w="459" w:type="dxa"/>
            <w:vMerge w:val="restart"/>
            <w:tcBorders>
              <w:top w:val="nil"/>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开料及折弯区</w:t>
            </w:r>
          </w:p>
        </w:tc>
        <w:tc>
          <w:tcPr>
            <w:tcW w:w="461" w:type="dxa"/>
            <w:vMerge w:val="restart"/>
            <w:tcBorders>
              <w:top w:val="nil"/>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开料</w:t>
            </w:r>
          </w:p>
        </w:tc>
        <w:tc>
          <w:tcPr>
            <w:tcW w:w="1624"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ascii="宋体" w:hAnsi="宋体" w:cs="Times New Roman"/>
                <w:color w:val="auto"/>
                <w:sz w:val="21"/>
                <w:szCs w:val="21"/>
              </w:rPr>
              <w:t>剪板机</w:t>
            </w:r>
          </w:p>
        </w:tc>
        <w:tc>
          <w:tcPr>
            <w:tcW w:w="212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s="Times New Roman"/>
                <w:color w:val="auto"/>
                <w:sz w:val="21"/>
                <w:szCs w:val="21"/>
              </w:rPr>
              <w:t>/</w:t>
            </w:r>
          </w:p>
        </w:tc>
        <w:tc>
          <w:tcPr>
            <w:tcW w:w="109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cs="Times New Roman"/>
                <w:color w:val="auto"/>
                <w:sz w:val="21"/>
                <w:szCs w:val="21"/>
              </w:rPr>
              <w:t>2</w:t>
            </w:r>
            <w:r>
              <w:rPr>
                <w:rFonts w:hint="eastAsia" w:ascii="宋体" w:hAnsi="宋体" w:cs="Times New Roman"/>
                <w:color w:val="auto"/>
                <w:sz w:val="21"/>
                <w:szCs w:val="21"/>
              </w:rPr>
              <w:t>台</w:t>
            </w:r>
          </w:p>
        </w:tc>
        <w:tc>
          <w:tcPr>
            <w:tcW w:w="1148"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cs="Times New Roman"/>
                <w:color w:val="auto"/>
                <w:sz w:val="21"/>
                <w:szCs w:val="21"/>
              </w:rPr>
              <w:t>2</w:t>
            </w:r>
            <w:r>
              <w:rPr>
                <w:rFonts w:hint="eastAsia" w:ascii="宋体" w:hAnsi="宋体" w:cs="Times New Roman"/>
                <w:color w:val="auto"/>
                <w:sz w:val="21"/>
                <w:szCs w:val="21"/>
              </w:rPr>
              <w:t>台</w:t>
            </w:r>
          </w:p>
        </w:tc>
        <w:tc>
          <w:tcPr>
            <w:tcW w:w="1071"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ascii="宋体" w:hAnsi="宋体" w:cs="Times New Roman"/>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5" w:hRule="atLeast"/>
        </w:trPr>
        <w:tc>
          <w:tcPr>
            <w:tcW w:w="53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2</w:t>
            </w:r>
          </w:p>
        </w:tc>
        <w:tc>
          <w:tcPr>
            <w:tcW w:w="45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461"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624"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激光切割机</w:t>
            </w:r>
          </w:p>
        </w:tc>
        <w:tc>
          <w:tcPr>
            <w:tcW w:w="212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w:t>
            </w:r>
          </w:p>
        </w:tc>
        <w:tc>
          <w:tcPr>
            <w:tcW w:w="109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2</w:t>
            </w:r>
            <w:r>
              <w:rPr>
                <w:rFonts w:hint="eastAsia" w:ascii="宋体" w:hAnsi="宋体" w:cs="Times New Roman"/>
                <w:color w:val="auto"/>
                <w:sz w:val="21"/>
                <w:szCs w:val="21"/>
              </w:rPr>
              <w:t>台</w:t>
            </w:r>
          </w:p>
        </w:tc>
        <w:tc>
          <w:tcPr>
            <w:tcW w:w="1148"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2</w:t>
            </w:r>
            <w:r>
              <w:rPr>
                <w:rFonts w:hint="eastAsia" w:ascii="宋体" w:hAnsi="宋体" w:cs="Times New Roman"/>
                <w:color w:val="auto"/>
                <w:sz w:val="21"/>
                <w:szCs w:val="21"/>
              </w:rPr>
              <w:t>台</w:t>
            </w:r>
          </w:p>
        </w:tc>
        <w:tc>
          <w:tcPr>
            <w:tcW w:w="1071"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5" w:hRule="atLeast"/>
        </w:trPr>
        <w:tc>
          <w:tcPr>
            <w:tcW w:w="53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3</w:t>
            </w:r>
          </w:p>
        </w:tc>
        <w:tc>
          <w:tcPr>
            <w:tcW w:w="45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461" w:type="dxa"/>
            <w:vMerge w:val="restart"/>
            <w:tcBorders>
              <w:top w:val="nil"/>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折弯</w:t>
            </w:r>
          </w:p>
        </w:tc>
        <w:tc>
          <w:tcPr>
            <w:tcW w:w="1624"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ascii="宋体" w:hAnsi="宋体" w:cs="Times New Roman"/>
                <w:color w:val="auto"/>
                <w:sz w:val="21"/>
                <w:szCs w:val="21"/>
              </w:rPr>
              <w:t>折弯机</w:t>
            </w:r>
          </w:p>
        </w:tc>
        <w:tc>
          <w:tcPr>
            <w:tcW w:w="212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s="Times New Roman"/>
                <w:color w:val="auto"/>
                <w:sz w:val="21"/>
                <w:szCs w:val="21"/>
              </w:rPr>
              <w:t>/</w:t>
            </w:r>
          </w:p>
        </w:tc>
        <w:tc>
          <w:tcPr>
            <w:tcW w:w="109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cs="Times New Roman"/>
                <w:color w:val="auto"/>
                <w:sz w:val="21"/>
                <w:szCs w:val="21"/>
              </w:rPr>
              <w:t>2</w:t>
            </w:r>
            <w:r>
              <w:rPr>
                <w:rFonts w:hint="eastAsia" w:ascii="宋体" w:hAnsi="宋体" w:cs="Times New Roman"/>
                <w:color w:val="auto"/>
                <w:sz w:val="21"/>
                <w:szCs w:val="21"/>
              </w:rPr>
              <w:t>台</w:t>
            </w:r>
          </w:p>
        </w:tc>
        <w:tc>
          <w:tcPr>
            <w:tcW w:w="1148"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cs="Times New Roman"/>
                <w:color w:val="auto"/>
                <w:sz w:val="21"/>
                <w:szCs w:val="21"/>
              </w:rPr>
              <w:t>2</w:t>
            </w:r>
            <w:r>
              <w:rPr>
                <w:rFonts w:hint="eastAsia" w:ascii="宋体" w:hAnsi="宋体" w:cs="Times New Roman"/>
                <w:color w:val="auto"/>
                <w:sz w:val="21"/>
                <w:szCs w:val="21"/>
              </w:rPr>
              <w:t>台</w:t>
            </w:r>
          </w:p>
        </w:tc>
        <w:tc>
          <w:tcPr>
            <w:tcW w:w="1071"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5" w:hRule="atLeast"/>
        </w:trPr>
        <w:tc>
          <w:tcPr>
            <w:tcW w:w="53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4</w:t>
            </w:r>
          </w:p>
        </w:tc>
        <w:tc>
          <w:tcPr>
            <w:tcW w:w="45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461"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624"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ascii="宋体" w:hAnsi="宋体" w:cs="Times New Roman"/>
                <w:color w:val="auto"/>
                <w:sz w:val="21"/>
                <w:szCs w:val="21"/>
              </w:rPr>
              <w:t>开平机</w:t>
            </w:r>
          </w:p>
        </w:tc>
        <w:tc>
          <w:tcPr>
            <w:tcW w:w="212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s="Times New Roman"/>
                <w:color w:val="auto"/>
                <w:sz w:val="21"/>
                <w:szCs w:val="21"/>
              </w:rPr>
              <w:t>/</w:t>
            </w:r>
          </w:p>
        </w:tc>
        <w:tc>
          <w:tcPr>
            <w:tcW w:w="109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cs="Times New Roman"/>
                <w:color w:val="auto"/>
                <w:sz w:val="21"/>
                <w:szCs w:val="21"/>
              </w:rPr>
              <w:t>1</w:t>
            </w:r>
            <w:r>
              <w:rPr>
                <w:rFonts w:hint="eastAsia" w:ascii="宋体" w:hAnsi="宋体" w:cs="Times New Roman"/>
                <w:color w:val="auto"/>
                <w:sz w:val="21"/>
                <w:szCs w:val="21"/>
              </w:rPr>
              <w:t>台</w:t>
            </w:r>
          </w:p>
        </w:tc>
        <w:tc>
          <w:tcPr>
            <w:tcW w:w="1148"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1</w:t>
            </w:r>
            <w:r>
              <w:rPr>
                <w:rFonts w:hint="eastAsia" w:ascii="宋体" w:hAnsi="宋体" w:cs="Times New Roman"/>
                <w:color w:val="auto"/>
                <w:sz w:val="21"/>
                <w:szCs w:val="21"/>
              </w:rPr>
              <w:t>台</w:t>
            </w:r>
          </w:p>
        </w:tc>
        <w:tc>
          <w:tcPr>
            <w:tcW w:w="1071"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5" w:hRule="atLeast"/>
        </w:trPr>
        <w:tc>
          <w:tcPr>
            <w:tcW w:w="53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5</w:t>
            </w:r>
          </w:p>
        </w:tc>
        <w:tc>
          <w:tcPr>
            <w:tcW w:w="459" w:type="dxa"/>
            <w:vMerge w:val="restart"/>
            <w:tcBorders>
              <w:top w:val="nil"/>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刨槽及冲孔区</w:t>
            </w:r>
          </w:p>
        </w:tc>
        <w:tc>
          <w:tcPr>
            <w:tcW w:w="461"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ascii="宋体" w:hAnsi="宋体" w:cs="Times New Roman"/>
                <w:color w:val="auto"/>
                <w:sz w:val="21"/>
                <w:szCs w:val="21"/>
              </w:rPr>
              <w:t>刨槽</w:t>
            </w:r>
          </w:p>
        </w:tc>
        <w:tc>
          <w:tcPr>
            <w:tcW w:w="1624"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刨槽</w:t>
            </w:r>
            <w:r>
              <w:rPr>
                <w:rFonts w:ascii="宋体" w:hAnsi="宋体" w:cs="Times New Roman"/>
                <w:color w:val="auto"/>
                <w:sz w:val="21"/>
                <w:szCs w:val="21"/>
              </w:rPr>
              <w:t>机</w:t>
            </w:r>
          </w:p>
        </w:tc>
        <w:tc>
          <w:tcPr>
            <w:tcW w:w="212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w:t>
            </w:r>
          </w:p>
        </w:tc>
        <w:tc>
          <w:tcPr>
            <w:tcW w:w="109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1</w:t>
            </w:r>
            <w:r>
              <w:rPr>
                <w:rFonts w:hint="eastAsia" w:ascii="宋体" w:hAnsi="宋体" w:cs="Times New Roman"/>
                <w:color w:val="auto"/>
                <w:sz w:val="21"/>
                <w:szCs w:val="21"/>
              </w:rPr>
              <w:t>台</w:t>
            </w:r>
          </w:p>
        </w:tc>
        <w:tc>
          <w:tcPr>
            <w:tcW w:w="1148"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1</w:t>
            </w:r>
            <w:r>
              <w:rPr>
                <w:rFonts w:hint="eastAsia" w:ascii="宋体" w:hAnsi="宋体" w:cs="Times New Roman"/>
                <w:color w:val="auto"/>
                <w:sz w:val="21"/>
                <w:szCs w:val="21"/>
              </w:rPr>
              <w:t>台</w:t>
            </w:r>
          </w:p>
        </w:tc>
        <w:tc>
          <w:tcPr>
            <w:tcW w:w="1071"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5" w:hRule="atLeast"/>
        </w:trPr>
        <w:tc>
          <w:tcPr>
            <w:tcW w:w="53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6</w:t>
            </w:r>
          </w:p>
        </w:tc>
        <w:tc>
          <w:tcPr>
            <w:tcW w:w="45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461" w:type="dxa"/>
            <w:vMerge w:val="restart"/>
            <w:tcBorders>
              <w:top w:val="nil"/>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ascii="宋体" w:hAnsi="宋体" w:cs="Times New Roman"/>
                <w:color w:val="auto"/>
                <w:sz w:val="21"/>
                <w:szCs w:val="21"/>
              </w:rPr>
              <w:t>冲孔</w:t>
            </w:r>
          </w:p>
        </w:tc>
        <w:tc>
          <w:tcPr>
            <w:tcW w:w="1624"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冲床</w:t>
            </w:r>
          </w:p>
        </w:tc>
        <w:tc>
          <w:tcPr>
            <w:tcW w:w="212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w:t>
            </w:r>
          </w:p>
        </w:tc>
        <w:tc>
          <w:tcPr>
            <w:tcW w:w="109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2</w:t>
            </w:r>
            <w:r>
              <w:rPr>
                <w:rFonts w:hint="eastAsia" w:ascii="宋体" w:hAnsi="宋体" w:cs="Times New Roman"/>
                <w:color w:val="auto"/>
                <w:sz w:val="21"/>
                <w:szCs w:val="21"/>
              </w:rPr>
              <w:t>台</w:t>
            </w:r>
          </w:p>
        </w:tc>
        <w:tc>
          <w:tcPr>
            <w:tcW w:w="1148"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cs="Times New Roman"/>
                <w:color w:val="auto"/>
                <w:sz w:val="21"/>
                <w:szCs w:val="21"/>
              </w:rPr>
              <w:t>2</w:t>
            </w:r>
            <w:r>
              <w:rPr>
                <w:rFonts w:hint="eastAsia" w:ascii="宋体" w:hAnsi="宋体" w:cs="Times New Roman"/>
                <w:color w:val="auto"/>
                <w:sz w:val="21"/>
                <w:szCs w:val="21"/>
              </w:rPr>
              <w:t>台</w:t>
            </w:r>
          </w:p>
        </w:tc>
        <w:tc>
          <w:tcPr>
            <w:tcW w:w="1071"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5" w:hRule="atLeast"/>
        </w:trPr>
        <w:tc>
          <w:tcPr>
            <w:tcW w:w="53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7</w:t>
            </w:r>
          </w:p>
        </w:tc>
        <w:tc>
          <w:tcPr>
            <w:tcW w:w="45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461"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hint="eastAsia" w:ascii="宋体" w:hAnsi="宋体" w:cs="Times New Roman"/>
                <w:color w:val="auto"/>
                <w:sz w:val="21"/>
                <w:szCs w:val="21"/>
              </w:rPr>
            </w:pPr>
          </w:p>
        </w:tc>
        <w:tc>
          <w:tcPr>
            <w:tcW w:w="1624"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线割机</w:t>
            </w:r>
          </w:p>
        </w:tc>
        <w:tc>
          <w:tcPr>
            <w:tcW w:w="212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w:t>
            </w:r>
          </w:p>
        </w:tc>
        <w:tc>
          <w:tcPr>
            <w:tcW w:w="109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2</w:t>
            </w:r>
            <w:r>
              <w:rPr>
                <w:rFonts w:hint="eastAsia" w:ascii="宋体" w:hAnsi="宋体" w:cs="Times New Roman"/>
                <w:color w:val="auto"/>
                <w:sz w:val="21"/>
                <w:szCs w:val="21"/>
              </w:rPr>
              <w:t>台</w:t>
            </w:r>
          </w:p>
        </w:tc>
        <w:tc>
          <w:tcPr>
            <w:tcW w:w="1148"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cs="Times New Roman"/>
                <w:color w:val="auto"/>
                <w:sz w:val="21"/>
                <w:szCs w:val="21"/>
              </w:rPr>
              <w:t>2</w:t>
            </w:r>
            <w:r>
              <w:rPr>
                <w:rFonts w:hint="eastAsia" w:ascii="宋体" w:hAnsi="宋体" w:cs="Times New Roman"/>
                <w:color w:val="auto"/>
                <w:sz w:val="21"/>
                <w:szCs w:val="21"/>
              </w:rPr>
              <w:t>台</w:t>
            </w:r>
          </w:p>
        </w:tc>
        <w:tc>
          <w:tcPr>
            <w:tcW w:w="1071"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5" w:hRule="atLeast"/>
        </w:trPr>
        <w:tc>
          <w:tcPr>
            <w:tcW w:w="53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8</w:t>
            </w:r>
          </w:p>
        </w:tc>
        <w:tc>
          <w:tcPr>
            <w:tcW w:w="920" w:type="dxa"/>
            <w:gridSpan w:val="2"/>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焊框区</w:t>
            </w:r>
          </w:p>
        </w:tc>
        <w:tc>
          <w:tcPr>
            <w:tcW w:w="1624"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焊机</w:t>
            </w:r>
          </w:p>
        </w:tc>
        <w:tc>
          <w:tcPr>
            <w:tcW w:w="212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w:t>
            </w:r>
          </w:p>
        </w:tc>
        <w:tc>
          <w:tcPr>
            <w:tcW w:w="109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2</w:t>
            </w:r>
            <w:r>
              <w:rPr>
                <w:rFonts w:ascii="宋体" w:hAnsi="宋体" w:cs="Times New Roman"/>
                <w:color w:val="auto"/>
                <w:sz w:val="21"/>
                <w:szCs w:val="21"/>
              </w:rPr>
              <w:t>台</w:t>
            </w:r>
          </w:p>
        </w:tc>
        <w:tc>
          <w:tcPr>
            <w:tcW w:w="1148"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2台</w:t>
            </w:r>
          </w:p>
        </w:tc>
        <w:tc>
          <w:tcPr>
            <w:tcW w:w="1071"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5" w:hRule="atLeast"/>
        </w:trPr>
        <w:tc>
          <w:tcPr>
            <w:tcW w:w="53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9</w:t>
            </w:r>
          </w:p>
        </w:tc>
        <w:tc>
          <w:tcPr>
            <w:tcW w:w="920" w:type="dxa"/>
            <w:gridSpan w:val="2"/>
            <w:vMerge w:val="restart"/>
            <w:tcBorders>
              <w:top w:val="nil"/>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胶合区</w:t>
            </w:r>
          </w:p>
        </w:tc>
        <w:tc>
          <w:tcPr>
            <w:tcW w:w="1624"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胶合机</w:t>
            </w:r>
          </w:p>
        </w:tc>
        <w:tc>
          <w:tcPr>
            <w:tcW w:w="212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s="Times New Roman"/>
                <w:color w:val="auto"/>
                <w:sz w:val="21"/>
                <w:szCs w:val="21"/>
              </w:rPr>
              <w:t>1</w:t>
            </w:r>
            <w:r>
              <w:rPr>
                <w:rFonts w:hint="eastAsia" w:ascii="宋体" w:hAnsi="宋体" w:cs="Times New Roman"/>
                <w:color w:val="auto"/>
                <w:sz w:val="21"/>
                <w:szCs w:val="21"/>
              </w:rPr>
              <w:t>台尺寸：</w:t>
            </w:r>
            <w:r>
              <w:rPr>
                <w:rFonts w:hint="eastAsia" w:cs="Times New Roman"/>
                <w:color w:val="auto"/>
                <w:sz w:val="21"/>
                <w:szCs w:val="21"/>
              </w:rPr>
              <w:t>1.2m*3.4m*2.7m</w:t>
            </w:r>
            <w:r>
              <w:rPr>
                <w:rFonts w:hint="eastAsia" w:ascii="宋体" w:hAnsi="宋体" w:cs="Times New Roman"/>
                <w:color w:val="auto"/>
                <w:sz w:val="21"/>
                <w:szCs w:val="21"/>
              </w:rPr>
              <w:t>，配有水箱容积</w:t>
            </w:r>
            <w:r>
              <w:rPr>
                <w:rFonts w:hint="eastAsia" w:cs="Times New Roman"/>
                <w:color w:val="auto"/>
                <w:sz w:val="21"/>
                <w:szCs w:val="21"/>
              </w:rPr>
              <w:t>0.2m</w:t>
            </w:r>
            <w:r>
              <w:rPr>
                <w:rFonts w:hint="eastAsia" w:cs="Times New Roman"/>
                <w:color w:val="auto"/>
                <w:sz w:val="21"/>
                <w:szCs w:val="21"/>
                <w:vertAlign w:val="superscript"/>
              </w:rPr>
              <w:t>3</w:t>
            </w:r>
            <w:r>
              <w:rPr>
                <w:rFonts w:hint="eastAsia" w:ascii="宋体" w:hAnsi="宋体" w:cs="Times New Roman"/>
                <w:color w:val="auto"/>
                <w:sz w:val="21"/>
                <w:szCs w:val="21"/>
              </w:rPr>
              <w:t>；</w:t>
            </w:r>
          </w:p>
          <w:p>
            <w:pPr>
              <w:spacing w:line="280" w:lineRule="exact"/>
              <w:ind w:firstLine="0" w:firstLineChars="0"/>
              <w:jc w:val="center"/>
              <w:rPr>
                <w:rFonts w:cs="Times New Roman"/>
                <w:color w:val="auto"/>
                <w:sz w:val="21"/>
                <w:szCs w:val="21"/>
                <w:highlight w:val="yellow"/>
              </w:rPr>
            </w:pPr>
            <w:r>
              <w:rPr>
                <w:rFonts w:hint="eastAsia" w:cs="Times New Roman"/>
                <w:color w:val="auto"/>
                <w:sz w:val="21"/>
                <w:szCs w:val="21"/>
              </w:rPr>
              <w:t>1</w:t>
            </w:r>
            <w:r>
              <w:rPr>
                <w:rFonts w:hint="eastAsia" w:ascii="宋体" w:hAnsi="宋体" w:cs="Times New Roman"/>
                <w:color w:val="auto"/>
                <w:sz w:val="21"/>
                <w:szCs w:val="21"/>
              </w:rPr>
              <w:t>台尺寸：</w:t>
            </w:r>
            <w:r>
              <w:rPr>
                <w:rFonts w:hint="eastAsia" w:cs="Times New Roman"/>
                <w:color w:val="auto"/>
                <w:sz w:val="21"/>
                <w:szCs w:val="21"/>
              </w:rPr>
              <w:t>1.2m*3.05m*2.25m</w:t>
            </w:r>
            <w:r>
              <w:rPr>
                <w:rFonts w:hint="eastAsia" w:ascii="宋体" w:hAnsi="宋体" w:cs="Times New Roman"/>
                <w:color w:val="auto"/>
                <w:sz w:val="21"/>
                <w:szCs w:val="21"/>
              </w:rPr>
              <w:t>，配有水箱容积</w:t>
            </w:r>
            <w:r>
              <w:rPr>
                <w:rFonts w:hint="eastAsia" w:cs="Times New Roman"/>
                <w:color w:val="auto"/>
                <w:sz w:val="21"/>
                <w:szCs w:val="21"/>
              </w:rPr>
              <w:t>0.4m</w:t>
            </w:r>
            <w:r>
              <w:rPr>
                <w:rFonts w:hint="eastAsia" w:cs="Times New Roman"/>
                <w:color w:val="auto"/>
                <w:sz w:val="21"/>
                <w:szCs w:val="21"/>
                <w:vertAlign w:val="superscript"/>
              </w:rPr>
              <w:t>3</w:t>
            </w:r>
          </w:p>
        </w:tc>
        <w:tc>
          <w:tcPr>
            <w:tcW w:w="109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2</w:t>
            </w:r>
            <w:r>
              <w:rPr>
                <w:rFonts w:ascii="宋体" w:hAnsi="宋体" w:cs="Times New Roman"/>
                <w:color w:val="auto"/>
                <w:sz w:val="21"/>
                <w:szCs w:val="21"/>
              </w:rPr>
              <w:t>台</w:t>
            </w:r>
          </w:p>
        </w:tc>
        <w:tc>
          <w:tcPr>
            <w:tcW w:w="1148"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s="Times New Roman"/>
                <w:color w:val="auto"/>
                <w:sz w:val="21"/>
                <w:szCs w:val="21"/>
              </w:rPr>
              <w:t>2</w:t>
            </w:r>
            <w:r>
              <w:rPr>
                <w:rFonts w:ascii="宋体" w:hAnsi="宋体" w:cs="Times New Roman"/>
                <w:color w:val="auto"/>
                <w:sz w:val="21"/>
                <w:szCs w:val="21"/>
              </w:rPr>
              <w:t>台</w:t>
            </w:r>
          </w:p>
        </w:tc>
        <w:tc>
          <w:tcPr>
            <w:tcW w:w="1071"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ascii="宋体" w:hAnsi="宋体" w:cs="Times New Roman"/>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5" w:hRule="atLeast"/>
        </w:trPr>
        <w:tc>
          <w:tcPr>
            <w:tcW w:w="53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10</w:t>
            </w:r>
          </w:p>
        </w:tc>
        <w:tc>
          <w:tcPr>
            <w:tcW w:w="920" w:type="dxa"/>
            <w:gridSpan w:val="2"/>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624"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焊机</w:t>
            </w:r>
          </w:p>
        </w:tc>
        <w:tc>
          <w:tcPr>
            <w:tcW w:w="212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w:t>
            </w:r>
          </w:p>
        </w:tc>
        <w:tc>
          <w:tcPr>
            <w:tcW w:w="109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2</w:t>
            </w:r>
            <w:r>
              <w:rPr>
                <w:rFonts w:hint="eastAsia" w:ascii="宋体" w:hAnsi="宋体" w:cs="Times New Roman"/>
                <w:color w:val="auto"/>
                <w:sz w:val="21"/>
                <w:szCs w:val="21"/>
              </w:rPr>
              <w:t>台</w:t>
            </w:r>
          </w:p>
        </w:tc>
        <w:tc>
          <w:tcPr>
            <w:tcW w:w="1148"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2</w:t>
            </w:r>
            <w:r>
              <w:rPr>
                <w:rFonts w:hint="eastAsia" w:ascii="宋体" w:hAnsi="宋体" w:cs="Times New Roman"/>
                <w:color w:val="auto"/>
                <w:sz w:val="21"/>
                <w:szCs w:val="21"/>
              </w:rPr>
              <w:t>台</w:t>
            </w:r>
          </w:p>
        </w:tc>
        <w:tc>
          <w:tcPr>
            <w:tcW w:w="1071"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5" w:hRule="atLeast"/>
        </w:trPr>
        <w:tc>
          <w:tcPr>
            <w:tcW w:w="53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11</w:t>
            </w:r>
          </w:p>
        </w:tc>
        <w:tc>
          <w:tcPr>
            <w:tcW w:w="920" w:type="dxa"/>
            <w:gridSpan w:val="2"/>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624"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手磨机</w:t>
            </w:r>
          </w:p>
        </w:tc>
        <w:tc>
          <w:tcPr>
            <w:tcW w:w="212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w:t>
            </w:r>
          </w:p>
        </w:tc>
        <w:tc>
          <w:tcPr>
            <w:tcW w:w="109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2</w:t>
            </w:r>
            <w:r>
              <w:rPr>
                <w:rFonts w:hint="eastAsia" w:ascii="宋体" w:hAnsi="宋体" w:cs="Times New Roman"/>
                <w:color w:val="auto"/>
                <w:sz w:val="21"/>
                <w:szCs w:val="21"/>
              </w:rPr>
              <w:t>台</w:t>
            </w:r>
          </w:p>
        </w:tc>
        <w:tc>
          <w:tcPr>
            <w:tcW w:w="1148"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2</w:t>
            </w:r>
            <w:r>
              <w:rPr>
                <w:rFonts w:hint="eastAsia" w:ascii="宋体" w:hAnsi="宋体" w:cs="Times New Roman"/>
                <w:color w:val="auto"/>
                <w:sz w:val="21"/>
                <w:szCs w:val="21"/>
              </w:rPr>
              <w:t>台</w:t>
            </w:r>
          </w:p>
        </w:tc>
        <w:tc>
          <w:tcPr>
            <w:tcW w:w="1071"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atLeast"/>
        </w:trPr>
        <w:tc>
          <w:tcPr>
            <w:tcW w:w="53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12</w:t>
            </w:r>
          </w:p>
        </w:tc>
        <w:tc>
          <w:tcPr>
            <w:tcW w:w="920" w:type="dxa"/>
            <w:gridSpan w:val="2"/>
            <w:vMerge w:val="restart"/>
            <w:tcBorders>
              <w:top w:val="nil"/>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门扇封花区</w:t>
            </w:r>
          </w:p>
        </w:tc>
        <w:tc>
          <w:tcPr>
            <w:tcW w:w="1624"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焊机</w:t>
            </w:r>
          </w:p>
        </w:tc>
        <w:tc>
          <w:tcPr>
            <w:tcW w:w="212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w:t>
            </w:r>
          </w:p>
        </w:tc>
        <w:tc>
          <w:tcPr>
            <w:tcW w:w="109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1</w:t>
            </w:r>
            <w:r>
              <w:rPr>
                <w:rFonts w:hint="eastAsia" w:ascii="宋体" w:hAnsi="宋体" w:cs="Times New Roman"/>
                <w:color w:val="auto"/>
                <w:sz w:val="21"/>
                <w:szCs w:val="21"/>
              </w:rPr>
              <w:t>台</w:t>
            </w:r>
          </w:p>
        </w:tc>
        <w:tc>
          <w:tcPr>
            <w:tcW w:w="1148"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s="Times New Roman"/>
                <w:color w:val="auto"/>
                <w:sz w:val="21"/>
                <w:szCs w:val="21"/>
              </w:rPr>
              <w:t>1</w:t>
            </w:r>
            <w:r>
              <w:rPr>
                <w:rFonts w:hint="eastAsia" w:ascii="宋体" w:hAnsi="宋体" w:cs="Times New Roman"/>
                <w:color w:val="auto"/>
                <w:sz w:val="21"/>
                <w:szCs w:val="21"/>
              </w:rPr>
              <w:t>台</w:t>
            </w:r>
          </w:p>
        </w:tc>
        <w:tc>
          <w:tcPr>
            <w:tcW w:w="1071"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4" w:hRule="atLeast"/>
        </w:trPr>
        <w:tc>
          <w:tcPr>
            <w:tcW w:w="53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13</w:t>
            </w:r>
          </w:p>
        </w:tc>
        <w:tc>
          <w:tcPr>
            <w:tcW w:w="920" w:type="dxa"/>
            <w:gridSpan w:val="2"/>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624"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手磨机</w:t>
            </w:r>
          </w:p>
        </w:tc>
        <w:tc>
          <w:tcPr>
            <w:tcW w:w="212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w:t>
            </w:r>
          </w:p>
        </w:tc>
        <w:tc>
          <w:tcPr>
            <w:tcW w:w="109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2</w:t>
            </w:r>
            <w:r>
              <w:rPr>
                <w:rFonts w:hint="eastAsia" w:ascii="宋体" w:hAnsi="宋体" w:cs="Times New Roman"/>
                <w:color w:val="auto"/>
                <w:sz w:val="21"/>
                <w:szCs w:val="21"/>
              </w:rPr>
              <w:t>台</w:t>
            </w:r>
          </w:p>
        </w:tc>
        <w:tc>
          <w:tcPr>
            <w:tcW w:w="1148"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s="Times New Roman"/>
                <w:color w:val="auto"/>
                <w:sz w:val="21"/>
                <w:szCs w:val="21"/>
              </w:rPr>
              <w:t>2</w:t>
            </w:r>
            <w:r>
              <w:rPr>
                <w:rFonts w:hint="eastAsia" w:ascii="宋体" w:hAnsi="宋体" w:cs="Times New Roman"/>
                <w:color w:val="auto"/>
                <w:sz w:val="21"/>
                <w:szCs w:val="21"/>
              </w:rPr>
              <w:t>台</w:t>
            </w:r>
          </w:p>
        </w:tc>
        <w:tc>
          <w:tcPr>
            <w:tcW w:w="1071"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atLeast"/>
        </w:trPr>
        <w:tc>
          <w:tcPr>
            <w:tcW w:w="53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14</w:t>
            </w:r>
          </w:p>
        </w:tc>
        <w:tc>
          <w:tcPr>
            <w:tcW w:w="920" w:type="dxa"/>
            <w:gridSpan w:val="2"/>
            <w:vMerge w:val="restart"/>
            <w:tcBorders>
              <w:top w:val="nil"/>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焊罗马头区</w:t>
            </w:r>
          </w:p>
        </w:tc>
        <w:tc>
          <w:tcPr>
            <w:tcW w:w="1624"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手磨机</w:t>
            </w:r>
          </w:p>
        </w:tc>
        <w:tc>
          <w:tcPr>
            <w:tcW w:w="212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w:t>
            </w:r>
          </w:p>
        </w:tc>
        <w:tc>
          <w:tcPr>
            <w:tcW w:w="109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2</w:t>
            </w:r>
            <w:r>
              <w:rPr>
                <w:rFonts w:hint="eastAsia" w:ascii="宋体" w:hAnsi="宋体" w:cs="Times New Roman"/>
                <w:color w:val="auto"/>
                <w:sz w:val="21"/>
                <w:szCs w:val="21"/>
              </w:rPr>
              <w:t>台</w:t>
            </w:r>
          </w:p>
        </w:tc>
        <w:tc>
          <w:tcPr>
            <w:tcW w:w="1148"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s="Times New Roman"/>
                <w:color w:val="auto"/>
                <w:sz w:val="21"/>
                <w:szCs w:val="21"/>
              </w:rPr>
              <w:t>2</w:t>
            </w:r>
            <w:r>
              <w:rPr>
                <w:rFonts w:hint="eastAsia" w:ascii="宋体" w:hAnsi="宋体" w:cs="Times New Roman"/>
                <w:color w:val="auto"/>
                <w:sz w:val="21"/>
                <w:szCs w:val="21"/>
              </w:rPr>
              <w:t>台</w:t>
            </w:r>
          </w:p>
        </w:tc>
        <w:tc>
          <w:tcPr>
            <w:tcW w:w="1071"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atLeast"/>
        </w:trPr>
        <w:tc>
          <w:tcPr>
            <w:tcW w:w="53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15</w:t>
            </w:r>
          </w:p>
        </w:tc>
        <w:tc>
          <w:tcPr>
            <w:tcW w:w="920" w:type="dxa"/>
            <w:gridSpan w:val="2"/>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624"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罗马头滚花机</w:t>
            </w:r>
          </w:p>
        </w:tc>
        <w:tc>
          <w:tcPr>
            <w:tcW w:w="212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w:t>
            </w:r>
          </w:p>
        </w:tc>
        <w:tc>
          <w:tcPr>
            <w:tcW w:w="109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1</w:t>
            </w:r>
            <w:r>
              <w:rPr>
                <w:rFonts w:hint="eastAsia" w:ascii="宋体" w:hAnsi="宋体" w:cs="Times New Roman"/>
                <w:color w:val="auto"/>
                <w:sz w:val="21"/>
                <w:szCs w:val="21"/>
              </w:rPr>
              <w:t>台</w:t>
            </w:r>
          </w:p>
        </w:tc>
        <w:tc>
          <w:tcPr>
            <w:tcW w:w="1148"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s="Times New Roman"/>
                <w:color w:val="auto"/>
                <w:sz w:val="21"/>
                <w:szCs w:val="21"/>
              </w:rPr>
              <w:t>1</w:t>
            </w:r>
            <w:r>
              <w:rPr>
                <w:rFonts w:hint="eastAsia" w:ascii="宋体" w:hAnsi="宋体" w:cs="Times New Roman"/>
                <w:color w:val="auto"/>
                <w:sz w:val="21"/>
                <w:szCs w:val="21"/>
              </w:rPr>
              <w:t>台</w:t>
            </w:r>
          </w:p>
        </w:tc>
        <w:tc>
          <w:tcPr>
            <w:tcW w:w="1071"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atLeast"/>
        </w:trPr>
        <w:tc>
          <w:tcPr>
            <w:tcW w:w="53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16</w:t>
            </w:r>
          </w:p>
        </w:tc>
        <w:tc>
          <w:tcPr>
            <w:tcW w:w="920" w:type="dxa"/>
            <w:gridSpan w:val="2"/>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624"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焊机</w:t>
            </w:r>
          </w:p>
        </w:tc>
        <w:tc>
          <w:tcPr>
            <w:tcW w:w="212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w:t>
            </w:r>
          </w:p>
        </w:tc>
        <w:tc>
          <w:tcPr>
            <w:tcW w:w="109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2</w:t>
            </w:r>
            <w:r>
              <w:rPr>
                <w:rFonts w:hint="eastAsia" w:ascii="宋体" w:hAnsi="宋体" w:cs="Times New Roman"/>
                <w:color w:val="auto"/>
                <w:sz w:val="21"/>
                <w:szCs w:val="21"/>
              </w:rPr>
              <w:t>台</w:t>
            </w:r>
          </w:p>
        </w:tc>
        <w:tc>
          <w:tcPr>
            <w:tcW w:w="1148"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s="Times New Roman"/>
                <w:color w:val="auto"/>
                <w:sz w:val="21"/>
                <w:szCs w:val="21"/>
              </w:rPr>
              <w:t>2</w:t>
            </w:r>
            <w:r>
              <w:rPr>
                <w:rFonts w:hint="eastAsia" w:ascii="宋体" w:hAnsi="宋体" w:cs="Times New Roman"/>
                <w:color w:val="auto"/>
                <w:sz w:val="21"/>
                <w:szCs w:val="21"/>
              </w:rPr>
              <w:t>台</w:t>
            </w:r>
          </w:p>
        </w:tc>
        <w:tc>
          <w:tcPr>
            <w:tcW w:w="1071"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atLeast"/>
        </w:trPr>
        <w:tc>
          <w:tcPr>
            <w:tcW w:w="53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17</w:t>
            </w:r>
          </w:p>
        </w:tc>
        <w:tc>
          <w:tcPr>
            <w:tcW w:w="920" w:type="dxa"/>
            <w:gridSpan w:val="2"/>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打磨区</w:t>
            </w:r>
          </w:p>
        </w:tc>
        <w:tc>
          <w:tcPr>
            <w:tcW w:w="1624"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气动打磨机</w:t>
            </w:r>
          </w:p>
        </w:tc>
        <w:tc>
          <w:tcPr>
            <w:tcW w:w="212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w:t>
            </w:r>
          </w:p>
        </w:tc>
        <w:tc>
          <w:tcPr>
            <w:tcW w:w="109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1</w:t>
            </w:r>
            <w:r>
              <w:rPr>
                <w:rFonts w:hint="eastAsia" w:ascii="宋体" w:hAnsi="宋体" w:cs="Times New Roman"/>
                <w:color w:val="auto"/>
                <w:sz w:val="21"/>
                <w:szCs w:val="21"/>
              </w:rPr>
              <w:t>台</w:t>
            </w:r>
          </w:p>
        </w:tc>
        <w:tc>
          <w:tcPr>
            <w:tcW w:w="1148"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s="Times New Roman"/>
                <w:color w:val="auto"/>
                <w:sz w:val="21"/>
                <w:szCs w:val="21"/>
              </w:rPr>
              <w:t>1</w:t>
            </w:r>
            <w:r>
              <w:rPr>
                <w:rFonts w:hint="eastAsia" w:ascii="宋体" w:hAnsi="宋体" w:cs="Times New Roman"/>
                <w:color w:val="auto"/>
                <w:sz w:val="21"/>
                <w:szCs w:val="21"/>
              </w:rPr>
              <w:t>台</w:t>
            </w:r>
          </w:p>
        </w:tc>
        <w:tc>
          <w:tcPr>
            <w:tcW w:w="1071"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atLeast"/>
        </w:trPr>
        <w:tc>
          <w:tcPr>
            <w:tcW w:w="53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18</w:t>
            </w:r>
          </w:p>
        </w:tc>
        <w:tc>
          <w:tcPr>
            <w:tcW w:w="459" w:type="dxa"/>
            <w:vMerge w:val="restart"/>
            <w:tcBorders>
              <w:top w:val="nil"/>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喷粉及固化区</w:t>
            </w:r>
          </w:p>
        </w:tc>
        <w:tc>
          <w:tcPr>
            <w:tcW w:w="461" w:type="dxa"/>
            <w:vMerge w:val="restart"/>
            <w:tcBorders>
              <w:top w:val="nil"/>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喷粉</w:t>
            </w:r>
          </w:p>
        </w:tc>
        <w:tc>
          <w:tcPr>
            <w:tcW w:w="1624"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喷粉房</w:t>
            </w:r>
          </w:p>
        </w:tc>
        <w:tc>
          <w:tcPr>
            <w:tcW w:w="212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s="Times New Roman"/>
                <w:color w:val="auto"/>
                <w:sz w:val="21"/>
                <w:szCs w:val="21"/>
              </w:rPr>
              <w:t>6</w:t>
            </w:r>
            <w:r>
              <w:rPr>
                <w:rFonts w:hint="eastAsia" w:ascii="宋体" w:hAnsi="宋体" w:cs="Times New Roman"/>
                <w:color w:val="auto"/>
                <w:sz w:val="21"/>
                <w:szCs w:val="21"/>
              </w:rPr>
              <w:t>米</w:t>
            </w:r>
            <w:r>
              <w:rPr>
                <w:rFonts w:hint="eastAsia" w:cs="Times New Roman"/>
                <w:color w:val="auto"/>
                <w:sz w:val="21"/>
                <w:szCs w:val="21"/>
              </w:rPr>
              <w:t>*3</w:t>
            </w:r>
            <w:r>
              <w:rPr>
                <w:rFonts w:hint="eastAsia" w:ascii="宋体" w:hAnsi="宋体" w:cs="Times New Roman"/>
                <w:color w:val="auto"/>
                <w:sz w:val="21"/>
                <w:szCs w:val="21"/>
              </w:rPr>
              <w:t>米</w:t>
            </w:r>
            <w:r>
              <w:rPr>
                <w:rFonts w:hint="eastAsia" w:cs="Times New Roman"/>
                <w:color w:val="auto"/>
                <w:sz w:val="21"/>
                <w:szCs w:val="21"/>
              </w:rPr>
              <w:t>*4</w:t>
            </w:r>
            <w:r>
              <w:rPr>
                <w:rFonts w:hint="eastAsia" w:ascii="宋体" w:hAnsi="宋体" w:cs="Times New Roman"/>
                <w:color w:val="auto"/>
                <w:sz w:val="21"/>
                <w:szCs w:val="21"/>
              </w:rPr>
              <w:t>米</w:t>
            </w:r>
          </w:p>
        </w:tc>
        <w:tc>
          <w:tcPr>
            <w:tcW w:w="109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1</w:t>
            </w:r>
            <w:r>
              <w:rPr>
                <w:rFonts w:hint="eastAsia" w:ascii="宋体" w:hAnsi="宋体" w:cs="Times New Roman"/>
                <w:color w:val="auto"/>
                <w:sz w:val="21"/>
                <w:szCs w:val="21"/>
              </w:rPr>
              <w:t>个</w:t>
            </w:r>
          </w:p>
        </w:tc>
        <w:tc>
          <w:tcPr>
            <w:tcW w:w="1148"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cs="Times New Roman"/>
                <w:color w:val="auto"/>
                <w:sz w:val="21"/>
                <w:szCs w:val="21"/>
              </w:rPr>
              <w:t>1</w:t>
            </w:r>
            <w:r>
              <w:rPr>
                <w:rFonts w:hint="eastAsia" w:ascii="宋体" w:hAnsi="宋体" w:cs="Times New Roman"/>
                <w:color w:val="auto"/>
                <w:sz w:val="21"/>
                <w:szCs w:val="21"/>
              </w:rPr>
              <w:t>个</w:t>
            </w:r>
          </w:p>
        </w:tc>
        <w:tc>
          <w:tcPr>
            <w:tcW w:w="1071"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atLeast"/>
        </w:trPr>
        <w:tc>
          <w:tcPr>
            <w:tcW w:w="53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19</w:t>
            </w:r>
          </w:p>
        </w:tc>
        <w:tc>
          <w:tcPr>
            <w:tcW w:w="45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461"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624"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静电喷枪</w:t>
            </w:r>
          </w:p>
        </w:tc>
        <w:tc>
          <w:tcPr>
            <w:tcW w:w="212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w:t>
            </w:r>
          </w:p>
        </w:tc>
        <w:tc>
          <w:tcPr>
            <w:tcW w:w="109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2</w:t>
            </w:r>
            <w:r>
              <w:rPr>
                <w:rFonts w:hint="eastAsia" w:ascii="宋体" w:hAnsi="宋体" w:cs="Times New Roman"/>
                <w:color w:val="auto"/>
                <w:sz w:val="21"/>
                <w:szCs w:val="21"/>
              </w:rPr>
              <w:t>把</w:t>
            </w:r>
          </w:p>
        </w:tc>
        <w:tc>
          <w:tcPr>
            <w:tcW w:w="1148"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cs="Times New Roman"/>
                <w:color w:val="auto"/>
                <w:sz w:val="21"/>
                <w:szCs w:val="21"/>
              </w:rPr>
              <w:t>2</w:t>
            </w:r>
            <w:r>
              <w:rPr>
                <w:rFonts w:hint="eastAsia" w:ascii="宋体" w:hAnsi="宋体" w:cs="Times New Roman"/>
                <w:color w:val="auto"/>
                <w:sz w:val="21"/>
                <w:szCs w:val="21"/>
              </w:rPr>
              <w:t>把</w:t>
            </w:r>
          </w:p>
        </w:tc>
        <w:tc>
          <w:tcPr>
            <w:tcW w:w="1071"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5" w:hRule="atLeast"/>
        </w:trPr>
        <w:tc>
          <w:tcPr>
            <w:tcW w:w="53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20</w:t>
            </w:r>
          </w:p>
        </w:tc>
        <w:tc>
          <w:tcPr>
            <w:tcW w:w="45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461"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固化</w:t>
            </w:r>
          </w:p>
        </w:tc>
        <w:tc>
          <w:tcPr>
            <w:tcW w:w="1624"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ascii="宋体" w:hAnsi="宋体" w:cs="Times New Roman"/>
                <w:color w:val="auto"/>
                <w:sz w:val="21"/>
                <w:szCs w:val="21"/>
              </w:rPr>
              <w:t>固化炉</w:t>
            </w:r>
          </w:p>
        </w:tc>
        <w:tc>
          <w:tcPr>
            <w:tcW w:w="212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ascii="宋体" w:hAnsi="宋体" w:cs="Times New Roman"/>
                <w:color w:val="auto"/>
                <w:sz w:val="21"/>
                <w:szCs w:val="21"/>
              </w:rPr>
              <w:t>面包炉型，</w:t>
            </w:r>
            <w:r>
              <w:rPr>
                <w:rFonts w:hint="eastAsia" w:cs="Times New Roman"/>
                <w:color w:val="auto"/>
                <w:sz w:val="21"/>
                <w:szCs w:val="21"/>
              </w:rPr>
              <w:t>6</w:t>
            </w:r>
            <w:r>
              <w:rPr>
                <w:rFonts w:hint="eastAsia" w:ascii="宋体" w:hAnsi="宋体" w:cs="Times New Roman"/>
                <w:color w:val="auto"/>
                <w:sz w:val="21"/>
                <w:szCs w:val="21"/>
              </w:rPr>
              <w:t>米</w:t>
            </w:r>
            <w:r>
              <w:rPr>
                <w:rFonts w:hint="eastAsia" w:cs="Times New Roman"/>
                <w:color w:val="auto"/>
                <w:sz w:val="21"/>
                <w:szCs w:val="21"/>
              </w:rPr>
              <w:t>*2.3</w:t>
            </w:r>
            <w:r>
              <w:rPr>
                <w:rFonts w:hint="eastAsia" w:ascii="宋体" w:hAnsi="宋体" w:cs="Times New Roman"/>
                <w:color w:val="auto"/>
                <w:sz w:val="21"/>
                <w:szCs w:val="21"/>
              </w:rPr>
              <w:t>米</w:t>
            </w:r>
            <w:r>
              <w:rPr>
                <w:rFonts w:hint="eastAsia" w:cs="Times New Roman"/>
                <w:color w:val="auto"/>
                <w:sz w:val="21"/>
                <w:szCs w:val="21"/>
              </w:rPr>
              <w:t>*4</w:t>
            </w:r>
            <w:r>
              <w:rPr>
                <w:rFonts w:hint="eastAsia" w:ascii="宋体" w:hAnsi="宋体" w:cs="Times New Roman"/>
                <w:color w:val="auto"/>
                <w:sz w:val="21"/>
                <w:szCs w:val="21"/>
              </w:rPr>
              <w:t>米；配套低氮燃烧机</w:t>
            </w:r>
          </w:p>
        </w:tc>
        <w:tc>
          <w:tcPr>
            <w:tcW w:w="109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1</w:t>
            </w:r>
            <w:r>
              <w:rPr>
                <w:rFonts w:hint="eastAsia" w:ascii="宋体" w:hAnsi="宋体" w:cs="Times New Roman"/>
                <w:color w:val="auto"/>
                <w:sz w:val="21"/>
                <w:szCs w:val="21"/>
              </w:rPr>
              <w:t>个</w:t>
            </w:r>
          </w:p>
        </w:tc>
        <w:tc>
          <w:tcPr>
            <w:tcW w:w="1148"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cs="Times New Roman"/>
                <w:color w:val="auto"/>
                <w:sz w:val="21"/>
                <w:szCs w:val="21"/>
              </w:rPr>
              <w:t>1</w:t>
            </w:r>
            <w:r>
              <w:rPr>
                <w:rFonts w:hint="eastAsia" w:ascii="宋体" w:hAnsi="宋体" w:cs="Times New Roman"/>
                <w:color w:val="auto"/>
                <w:sz w:val="21"/>
                <w:szCs w:val="21"/>
              </w:rPr>
              <w:t>个</w:t>
            </w:r>
          </w:p>
        </w:tc>
        <w:tc>
          <w:tcPr>
            <w:tcW w:w="1071"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5" w:hRule="atLeast"/>
        </w:trPr>
        <w:tc>
          <w:tcPr>
            <w:tcW w:w="53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21</w:t>
            </w:r>
          </w:p>
        </w:tc>
        <w:tc>
          <w:tcPr>
            <w:tcW w:w="459" w:type="dxa"/>
            <w:vMerge w:val="restart"/>
            <w:tcBorders>
              <w:top w:val="nil"/>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喷漆及烘干区</w:t>
            </w:r>
            <w:r>
              <w:rPr>
                <w:rFonts w:hint="eastAsia" w:cs="Times New Roman"/>
                <w:color w:val="auto"/>
                <w:sz w:val="21"/>
                <w:szCs w:val="21"/>
              </w:rPr>
              <w:t>1</w:t>
            </w:r>
          </w:p>
        </w:tc>
        <w:tc>
          <w:tcPr>
            <w:tcW w:w="461" w:type="dxa"/>
            <w:vMerge w:val="restart"/>
            <w:tcBorders>
              <w:top w:val="nil"/>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喷漆</w:t>
            </w:r>
          </w:p>
        </w:tc>
        <w:tc>
          <w:tcPr>
            <w:tcW w:w="1624"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喷漆房</w:t>
            </w:r>
            <w:r>
              <w:rPr>
                <w:rFonts w:hint="eastAsia" w:cs="Times New Roman"/>
                <w:color w:val="auto"/>
                <w:sz w:val="21"/>
                <w:szCs w:val="21"/>
              </w:rPr>
              <w:t>1</w:t>
            </w:r>
          </w:p>
        </w:tc>
        <w:tc>
          <w:tcPr>
            <w:tcW w:w="212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s="Times New Roman"/>
                <w:color w:val="auto"/>
                <w:sz w:val="21"/>
                <w:szCs w:val="21"/>
              </w:rPr>
              <w:t>4.9</w:t>
            </w:r>
            <w:r>
              <w:rPr>
                <w:rFonts w:hint="eastAsia" w:ascii="宋体" w:hAnsi="宋体" w:cs="Times New Roman"/>
                <w:color w:val="auto"/>
                <w:sz w:val="21"/>
                <w:szCs w:val="21"/>
              </w:rPr>
              <w:t>米</w:t>
            </w:r>
            <w:r>
              <w:rPr>
                <w:rFonts w:hint="eastAsia" w:cs="Times New Roman"/>
                <w:color w:val="auto"/>
                <w:sz w:val="21"/>
                <w:szCs w:val="21"/>
              </w:rPr>
              <w:t>*3.7</w:t>
            </w:r>
            <w:r>
              <w:rPr>
                <w:rFonts w:hint="eastAsia" w:ascii="宋体" w:hAnsi="宋体" w:cs="Times New Roman"/>
                <w:color w:val="auto"/>
                <w:sz w:val="21"/>
                <w:szCs w:val="21"/>
              </w:rPr>
              <w:t>米</w:t>
            </w:r>
            <w:r>
              <w:rPr>
                <w:rFonts w:hint="eastAsia" w:cs="Times New Roman"/>
                <w:color w:val="auto"/>
                <w:sz w:val="21"/>
                <w:szCs w:val="21"/>
              </w:rPr>
              <w:t>*3.6</w:t>
            </w:r>
            <w:r>
              <w:rPr>
                <w:rFonts w:hint="eastAsia" w:ascii="宋体" w:hAnsi="宋体" w:cs="Times New Roman"/>
                <w:color w:val="auto"/>
                <w:sz w:val="21"/>
                <w:szCs w:val="21"/>
              </w:rPr>
              <w:t>米</w:t>
            </w:r>
          </w:p>
        </w:tc>
        <w:tc>
          <w:tcPr>
            <w:tcW w:w="109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1</w:t>
            </w:r>
            <w:r>
              <w:rPr>
                <w:rFonts w:hint="eastAsia" w:ascii="宋体" w:hAnsi="宋体" w:cs="Times New Roman"/>
                <w:color w:val="auto"/>
                <w:sz w:val="21"/>
                <w:szCs w:val="21"/>
              </w:rPr>
              <w:t>个</w:t>
            </w:r>
          </w:p>
        </w:tc>
        <w:tc>
          <w:tcPr>
            <w:tcW w:w="1148"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cs="Times New Roman"/>
                <w:color w:val="auto"/>
                <w:sz w:val="21"/>
                <w:szCs w:val="21"/>
              </w:rPr>
              <w:t>1</w:t>
            </w:r>
            <w:r>
              <w:rPr>
                <w:rFonts w:hint="eastAsia" w:ascii="宋体" w:hAnsi="宋体" w:cs="Times New Roman"/>
                <w:color w:val="auto"/>
                <w:sz w:val="21"/>
                <w:szCs w:val="21"/>
              </w:rPr>
              <w:t>个</w:t>
            </w:r>
          </w:p>
        </w:tc>
        <w:tc>
          <w:tcPr>
            <w:tcW w:w="1071"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5" w:hRule="atLeast"/>
        </w:trPr>
        <w:tc>
          <w:tcPr>
            <w:tcW w:w="53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22</w:t>
            </w:r>
          </w:p>
        </w:tc>
        <w:tc>
          <w:tcPr>
            <w:tcW w:w="45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461"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624"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水帘柜（</w:t>
            </w:r>
            <w:r>
              <w:rPr>
                <w:rFonts w:hint="eastAsia" w:cs="Times New Roman"/>
                <w:color w:val="auto"/>
                <w:sz w:val="21"/>
                <w:szCs w:val="21"/>
              </w:rPr>
              <w:t>1</w:t>
            </w:r>
            <w:r>
              <w:rPr>
                <w:rFonts w:hint="eastAsia" w:ascii="宋体" w:hAnsi="宋体" w:cs="Times New Roman"/>
                <w:color w:val="auto"/>
                <w:sz w:val="21"/>
                <w:szCs w:val="21"/>
              </w:rPr>
              <w:t>号、</w:t>
            </w:r>
            <w:r>
              <w:rPr>
                <w:rFonts w:hint="eastAsia" w:cs="Times New Roman"/>
                <w:color w:val="auto"/>
                <w:sz w:val="21"/>
                <w:szCs w:val="21"/>
              </w:rPr>
              <w:t>2</w:t>
            </w:r>
            <w:r>
              <w:rPr>
                <w:rFonts w:hint="eastAsia" w:ascii="宋体" w:hAnsi="宋体" w:cs="Times New Roman"/>
                <w:color w:val="auto"/>
                <w:sz w:val="21"/>
                <w:szCs w:val="21"/>
              </w:rPr>
              <w:t>号）</w:t>
            </w:r>
          </w:p>
        </w:tc>
        <w:tc>
          <w:tcPr>
            <w:tcW w:w="212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每个水帘柜尺寸</w:t>
            </w:r>
            <w:r>
              <w:rPr>
                <w:rFonts w:hint="eastAsia" w:cs="Times New Roman"/>
                <w:color w:val="auto"/>
                <w:sz w:val="21"/>
                <w:szCs w:val="21"/>
              </w:rPr>
              <w:t>4.9</w:t>
            </w:r>
            <w:r>
              <w:rPr>
                <w:rFonts w:hint="eastAsia" w:ascii="宋体" w:hAnsi="宋体" w:cs="Times New Roman"/>
                <w:color w:val="auto"/>
                <w:sz w:val="21"/>
                <w:szCs w:val="21"/>
              </w:rPr>
              <w:t>米</w:t>
            </w:r>
            <w:r>
              <w:rPr>
                <w:rFonts w:hint="eastAsia" w:cs="Times New Roman"/>
                <w:color w:val="auto"/>
                <w:sz w:val="21"/>
                <w:szCs w:val="21"/>
              </w:rPr>
              <w:t>*0.9</w:t>
            </w:r>
            <w:r>
              <w:rPr>
                <w:rFonts w:hint="eastAsia" w:ascii="宋体" w:hAnsi="宋体" w:cs="Times New Roman"/>
                <w:color w:val="auto"/>
                <w:sz w:val="21"/>
                <w:szCs w:val="21"/>
              </w:rPr>
              <w:t>米</w:t>
            </w:r>
            <w:r>
              <w:rPr>
                <w:rFonts w:hint="eastAsia" w:cs="Times New Roman"/>
                <w:color w:val="auto"/>
                <w:sz w:val="21"/>
                <w:szCs w:val="21"/>
              </w:rPr>
              <w:t>*3.3</w:t>
            </w:r>
            <w:r>
              <w:rPr>
                <w:rFonts w:hint="eastAsia" w:ascii="宋体" w:hAnsi="宋体" w:cs="Times New Roman"/>
                <w:color w:val="auto"/>
                <w:sz w:val="21"/>
                <w:szCs w:val="21"/>
              </w:rPr>
              <w:t>米；水帘柜循环池尺寸</w:t>
            </w:r>
            <w:r>
              <w:rPr>
                <w:rFonts w:hint="eastAsia" w:cs="Times New Roman"/>
                <w:color w:val="auto"/>
                <w:sz w:val="21"/>
                <w:szCs w:val="21"/>
              </w:rPr>
              <w:t>4.9</w:t>
            </w:r>
            <w:r>
              <w:rPr>
                <w:rFonts w:hint="eastAsia" w:ascii="宋体" w:hAnsi="宋体" w:cs="Times New Roman"/>
                <w:color w:val="auto"/>
                <w:sz w:val="21"/>
                <w:szCs w:val="21"/>
              </w:rPr>
              <w:t>米</w:t>
            </w:r>
            <w:r>
              <w:rPr>
                <w:rFonts w:hint="eastAsia" w:cs="Times New Roman"/>
                <w:color w:val="auto"/>
                <w:sz w:val="21"/>
                <w:szCs w:val="21"/>
              </w:rPr>
              <w:t>*0.9</w:t>
            </w:r>
            <w:r>
              <w:rPr>
                <w:rFonts w:hint="eastAsia" w:ascii="宋体" w:hAnsi="宋体" w:cs="Times New Roman"/>
                <w:color w:val="auto"/>
                <w:sz w:val="21"/>
                <w:szCs w:val="21"/>
              </w:rPr>
              <w:t>米</w:t>
            </w:r>
            <w:r>
              <w:rPr>
                <w:rFonts w:hint="eastAsia" w:cs="Times New Roman"/>
                <w:color w:val="auto"/>
                <w:sz w:val="21"/>
                <w:szCs w:val="21"/>
              </w:rPr>
              <w:t>*0.3</w:t>
            </w:r>
            <w:r>
              <w:rPr>
                <w:rFonts w:hint="eastAsia" w:ascii="宋体" w:hAnsi="宋体" w:cs="Times New Roman"/>
                <w:color w:val="auto"/>
                <w:sz w:val="21"/>
                <w:szCs w:val="21"/>
              </w:rPr>
              <w:t>米；水泵流量</w:t>
            </w:r>
            <w:r>
              <w:rPr>
                <w:rFonts w:hint="eastAsia" w:cs="Times New Roman"/>
                <w:color w:val="auto"/>
                <w:sz w:val="21"/>
                <w:szCs w:val="21"/>
              </w:rPr>
              <w:t>15m</w:t>
            </w:r>
            <w:r>
              <w:rPr>
                <w:rFonts w:hint="eastAsia" w:cs="Times New Roman"/>
                <w:color w:val="auto"/>
                <w:sz w:val="21"/>
                <w:szCs w:val="21"/>
                <w:vertAlign w:val="superscript"/>
              </w:rPr>
              <w:t>3</w:t>
            </w:r>
            <w:r>
              <w:rPr>
                <w:rFonts w:hint="eastAsia" w:cs="Times New Roman"/>
                <w:color w:val="auto"/>
                <w:sz w:val="21"/>
                <w:szCs w:val="21"/>
              </w:rPr>
              <w:t>/h</w:t>
            </w:r>
          </w:p>
        </w:tc>
        <w:tc>
          <w:tcPr>
            <w:tcW w:w="109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2</w:t>
            </w:r>
            <w:r>
              <w:rPr>
                <w:rFonts w:hint="eastAsia" w:ascii="宋体" w:hAnsi="宋体" w:cs="Times New Roman"/>
                <w:color w:val="auto"/>
                <w:sz w:val="21"/>
                <w:szCs w:val="21"/>
              </w:rPr>
              <w:t>个</w:t>
            </w:r>
          </w:p>
        </w:tc>
        <w:tc>
          <w:tcPr>
            <w:tcW w:w="1148"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2</w:t>
            </w:r>
            <w:r>
              <w:rPr>
                <w:rFonts w:hint="eastAsia" w:ascii="宋体" w:hAnsi="宋体" w:cs="Times New Roman"/>
                <w:color w:val="auto"/>
                <w:sz w:val="21"/>
                <w:szCs w:val="21"/>
              </w:rPr>
              <w:t>个</w:t>
            </w:r>
          </w:p>
        </w:tc>
        <w:tc>
          <w:tcPr>
            <w:tcW w:w="1071"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5" w:hRule="atLeast"/>
        </w:trPr>
        <w:tc>
          <w:tcPr>
            <w:tcW w:w="53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23</w:t>
            </w:r>
          </w:p>
        </w:tc>
        <w:tc>
          <w:tcPr>
            <w:tcW w:w="45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461"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624"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人工喷枪</w:t>
            </w:r>
          </w:p>
        </w:tc>
        <w:tc>
          <w:tcPr>
            <w:tcW w:w="212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w:t>
            </w:r>
          </w:p>
        </w:tc>
        <w:tc>
          <w:tcPr>
            <w:tcW w:w="109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4</w:t>
            </w:r>
            <w:r>
              <w:rPr>
                <w:rFonts w:hint="eastAsia" w:ascii="宋体" w:hAnsi="宋体" w:cs="Times New Roman"/>
                <w:color w:val="auto"/>
                <w:sz w:val="21"/>
                <w:szCs w:val="21"/>
              </w:rPr>
              <w:t>把</w:t>
            </w:r>
          </w:p>
        </w:tc>
        <w:tc>
          <w:tcPr>
            <w:tcW w:w="1148"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cs="Times New Roman"/>
                <w:color w:val="auto"/>
                <w:sz w:val="21"/>
                <w:szCs w:val="21"/>
              </w:rPr>
              <w:t>4</w:t>
            </w:r>
            <w:r>
              <w:rPr>
                <w:rFonts w:hint="eastAsia" w:ascii="宋体" w:hAnsi="宋体" w:cs="Times New Roman"/>
                <w:color w:val="auto"/>
                <w:sz w:val="21"/>
                <w:szCs w:val="21"/>
              </w:rPr>
              <w:t>把</w:t>
            </w:r>
          </w:p>
        </w:tc>
        <w:tc>
          <w:tcPr>
            <w:tcW w:w="1071"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5" w:hRule="atLeast"/>
        </w:trPr>
        <w:tc>
          <w:tcPr>
            <w:tcW w:w="53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24</w:t>
            </w:r>
          </w:p>
        </w:tc>
        <w:tc>
          <w:tcPr>
            <w:tcW w:w="45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461"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624"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风机</w:t>
            </w:r>
          </w:p>
        </w:tc>
        <w:tc>
          <w:tcPr>
            <w:tcW w:w="212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每台风量</w:t>
            </w:r>
            <w:r>
              <w:rPr>
                <w:rFonts w:hint="eastAsia" w:cs="Times New Roman"/>
                <w:color w:val="auto"/>
                <w:sz w:val="21"/>
                <w:szCs w:val="21"/>
              </w:rPr>
              <w:t>1.5</w:t>
            </w:r>
            <w:r>
              <w:rPr>
                <w:rFonts w:hint="eastAsia" w:ascii="宋体" w:hAnsi="宋体" w:cs="Times New Roman"/>
                <w:color w:val="auto"/>
                <w:sz w:val="21"/>
                <w:szCs w:val="21"/>
              </w:rPr>
              <w:t>万</w:t>
            </w:r>
            <w:r>
              <w:rPr>
                <w:rFonts w:hint="eastAsia" w:cs="Times New Roman"/>
                <w:color w:val="auto"/>
                <w:sz w:val="21"/>
                <w:szCs w:val="21"/>
              </w:rPr>
              <w:t>m</w:t>
            </w:r>
            <w:r>
              <w:rPr>
                <w:rFonts w:hint="eastAsia" w:cs="Times New Roman"/>
                <w:color w:val="auto"/>
                <w:sz w:val="21"/>
                <w:szCs w:val="21"/>
                <w:vertAlign w:val="superscript"/>
              </w:rPr>
              <w:t>3</w:t>
            </w:r>
            <w:r>
              <w:rPr>
                <w:rFonts w:hint="eastAsia" w:cs="Times New Roman"/>
                <w:color w:val="auto"/>
                <w:sz w:val="21"/>
                <w:szCs w:val="21"/>
              </w:rPr>
              <w:t>/h</w:t>
            </w:r>
          </w:p>
        </w:tc>
        <w:tc>
          <w:tcPr>
            <w:tcW w:w="109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4</w:t>
            </w:r>
            <w:r>
              <w:rPr>
                <w:rFonts w:hint="eastAsia" w:ascii="宋体" w:hAnsi="宋体" w:cs="Times New Roman"/>
                <w:color w:val="auto"/>
                <w:sz w:val="21"/>
                <w:szCs w:val="21"/>
              </w:rPr>
              <w:t>台</w:t>
            </w:r>
          </w:p>
        </w:tc>
        <w:tc>
          <w:tcPr>
            <w:tcW w:w="1148"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4</w:t>
            </w:r>
            <w:r>
              <w:rPr>
                <w:rFonts w:hint="eastAsia" w:ascii="宋体" w:hAnsi="宋体" w:cs="Times New Roman"/>
                <w:color w:val="auto"/>
                <w:sz w:val="21"/>
                <w:szCs w:val="21"/>
              </w:rPr>
              <w:t>台</w:t>
            </w:r>
          </w:p>
        </w:tc>
        <w:tc>
          <w:tcPr>
            <w:tcW w:w="1071"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5" w:hRule="atLeast"/>
        </w:trPr>
        <w:tc>
          <w:tcPr>
            <w:tcW w:w="53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25</w:t>
            </w:r>
          </w:p>
        </w:tc>
        <w:tc>
          <w:tcPr>
            <w:tcW w:w="45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461"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624"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流平段</w:t>
            </w:r>
          </w:p>
        </w:tc>
        <w:tc>
          <w:tcPr>
            <w:tcW w:w="212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s="Times New Roman"/>
                <w:color w:val="auto"/>
                <w:sz w:val="21"/>
                <w:szCs w:val="21"/>
              </w:rPr>
              <w:t>9</w:t>
            </w:r>
            <w:r>
              <w:rPr>
                <w:rFonts w:hint="eastAsia" w:ascii="宋体" w:hAnsi="宋体" w:cs="Times New Roman"/>
                <w:color w:val="auto"/>
                <w:sz w:val="21"/>
                <w:szCs w:val="21"/>
              </w:rPr>
              <w:t>米</w:t>
            </w:r>
            <w:r>
              <w:rPr>
                <w:rFonts w:hint="eastAsia" w:cs="Times New Roman"/>
                <w:color w:val="auto"/>
                <w:sz w:val="21"/>
                <w:szCs w:val="21"/>
              </w:rPr>
              <w:t>*8.4</w:t>
            </w:r>
            <w:r>
              <w:rPr>
                <w:rFonts w:hint="eastAsia" w:ascii="宋体" w:hAnsi="宋体" w:cs="Times New Roman"/>
                <w:color w:val="auto"/>
                <w:sz w:val="21"/>
                <w:szCs w:val="21"/>
              </w:rPr>
              <w:t>米</w:t>
            </w:r>
            <w:r>
              <w:rPr>
                <w:rFonts w:hint="eastAsia" w:cs="Times New Roman"/>
                <w:color w:val="auto"/>
                <w:sz w:val="21"/>
                <w:szCs w:val="21"/>
              </w:rPr>
              <w:t>*4</w:t>
            </w:r>
            <w:r>
              <w:rPr>
                <w:rFonts w:hint="eastAsia" w:ascii="宋体" w:hAnsi="宋体" w:cs="Times New Roman"/>
                <w:color w:val="auto"/>
                <w:sz w:val="21"/>
                <w:szCs w:val="21"/>
              </w:rPr>
              <w:t>米</w:t>
            </w:r>
          </w:p>
        </w:tc>
        <w:tc>
          <w:tcPr>
            <w:tcW w:w="109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1</w:t>
            </w:r>
            <w:r>
              <w:rPr>
                <w:rFonts w:hint="eastAsia" w:ascii="宋体" w:hAnsi="宋体" w:cs="Times New Roman"/>
                <w:color w:val="auto"/>
                <w:sz w:val="21"/>
                <w:szCs w:val="21"/>
              </w:rPr>
              <w:t>段</w:t>
            </w:r>
          </w:p>
        </w:tc>
        <w:tc>
          <w:tcPr>
            <w:tcW w:w="1148"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cs="Times New Roman"/>
                <w:color w:val="auto"/>
                <w:sz w:val="21"/>
                <w:szCs w:val="21"/>
              </w:rPr>
              <w:t>1</w:t>
            </w:r>
            <w:r>
              <w:rPr>
                <w:rFonts w:hint="eastAsia" w:ascii="宋体" w:hAnsi="宋体" w:cs="Times New Roman"/>
                <w:color w:val="auto"/>
                <w:sz w:val="21"/>
                <w:szCs w:val="21"/>
              </w:rPr>
              <w:t>段</w:t>
            </w:r>
          </w:p>
        </w:tc>
        <w:tc>
          <w:tcPr>
            <w:tcW w:w="1071"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5" w:hRule="atLeast"/>
        </w:trPr>
        <w:tc>
          <w:tcPr>
            <w:tcW w:w="53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26</w:t>
            </w:r>
          </w:p>
        </w:tc>
        <w:tc>
          <w:tcPr>
            <w:tcW w:w="45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461"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烘干</w:t>
            </w:r>
          </w:p>
        </w:tc>
        <w:tc>
          <w:tcPr>
            <w:tcW w:w="1624"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烤漆炉</w:t>
            </w:r>
            <w:r>
              <w:rPr>
                <w:rFonts w:hint="eastAsia" w:cs="Times New Roman"/>
                <w:color w:val="auto"/>
                <w:sz w:val="21"/>
                <w:szCs w:val="21"/>
              </w:rPr>
              <w:t>1</w:t>
            </w:r>
          </w:p>
        </w:tc>
        <w:tc>
          <w:tcPr>
            <w:tcW w:w="212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ascii="宋体" w:hAnsi="宋体" w:cs="Times New Roman"/>
                <w:color w:val="auto"/>
                <w:sz w:val="21"/>
                <w:szCs w:val="21"/>
              </w:rPr>
              <w:t>面包炉型，</w:t>
            </w:r>
            <w:r>
              <w:rPr>
                <w:rFonts w:hint="eastAsia" w:cs="Times New Roman"/>
                <w:color w:val="auto"/>
                <w:sz w:val="21"/>
                <w:szCs w:val="21"/>
              </w:rPr>
              <w:t>6</w:t>
            </w:r>
            <w:r>
              <w:rPr>
                <w:rFonts w:hint="eastAsia" w:ascii="宋体" w:hAnsi="宋体" w:cs="Times New Roman"/>
                <w:color w:val="auto"/>
                <w:sz w:val="21"/>
                <w:szCs w:val="21"/>
              </w:rPr>
              <w:t>米</w:t>
            </w:r>
            <w:r>
              <w:rPr>
                <w:rFonts w:hint="eastAsia" w:cs="Times New Roman"/>
                <w:color w:val="auto"/>
                <w:sz w:val="21"/>
                <w:szCs w:val="21"/>
              </w:rPr>
              <w:t>*2.3</w:t>
            </w:r>
            <w:r>
              <w:rPr>
                <w:rFonts w:hint="eastAsia" w:ascii="宋体" w:hAnsi="宋体" w:cs="Times New Roman"/>
                <w:color w:val="auto"/>
                <w:sz w:val="21"/>
                <w:szCs w:val="21"/>
              </w:rPr>
              <w:t>米</w:t>
            </w:r>
            <w:r>
              <w:rPr>
                <w:rFonts w:hint="eastAsia" w:cs="Times New Roman"/>
                <w:color w:val="auto"/>
                <w:sz w:val="21"/>
                <w:szCs w:val="21"/>
              </w:rPr>
              <w:t>*4</w:t>
            </w:r>
            <w:r>
              <w:rPr>
                <w:rFonts w:hint="eastAsia" w:ascii="宋体" w:hAnsi="宋体" w:cs="Times New Roman"/>
                <w:color w:val="auto"/>
                <w:sz w:val="21"/>
                <w:szCs w:val="21"/>
              </w:rPr>
              <w:t>米；配套低氮燃烧机</w:t>
            </w:r>
          </w:p>
        </w:tc>
        <w:tc>
          <w:tcPr>
            <w:tcW w:w="109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cs="Times New Roman"/>
                <w:color w:val="auto"/>
                <w:sz w:val="21"/>
                <w:szCs w:val="21"/>
              </w:rPr>
              <w:t>1</w:t>
            </w:r>
            <w:r>
              <w:rPr>
                <w:rFonts w:hint="eastAsia" w:ascii="宋体" w:hAnsi="宋体" w:cs="Times New Roman"/>
                <w:color w:val="auto"/>
                <w:sz w:val="21"/>
                <w:szCs w:val="21"/>
              </w:rPr>
              <w:t>个</w:t>
            </w:r>
          </w:p>
        </w:tc>
        <w:tc>
          <w:tcPr>
            <w:tcW w:w="1148"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cs="Times New Roman"/>
                <w:color w:val="auto"/>
                <w:sz w:val="21"/>
                <w:szCs w:val="21"/>
              </w:rPr>
              <w:t>1</w:t>
            </w:r>
            <w:r>
              <w:rPr>
                <w:rFonts w:hint="eastAsia" w:ascii="宋体" w:hAnsi="宋体" w:cs="Times New Roman"/>
                <w:color w:val="auto"/>
                <w:sz w:val="21"/>
                <w:szCs w:val="21"/>
              </w:rPr>
              <w:t>个</w:t>
            </w:r>
          </w:p>
        </w:tc>
        <w:tc>
          <w:tcPr>
            <w:tcW w:w="1071"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5" w:hRule="atLeast"/>
        </w:trPr>
        <w:tc>
          <w:tcPr>
            <w:tcW w:w="53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27</w:t>
            </w:r>
          </w:p>
        </w:tc>
        <w:tc>
          <w:tcPr>
            <w:tcW w:w="459" w:type="dxa"/>
            <w:vMerge w:val="restart"/>
            <w:tcBorders>
              <w:top w:val="nil"/>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喷漆及烘干区</w:t>
            </w:r>
            <w:r>
              <w:rPr>
                <w:rFonts w:hint="eastAsia" w:cs="Times New Roman"/>
                <w:color w:val="auto"/>
                <w:sz w:val="21"/>
                <w:szCs w:val="21"/>
              </w:rPr>
              <w:t>2</w:t>
            </w:r>
          </w:p>
        </w:tc>
        <w:tc>
          <w:tcPr>
            <w:tcW w:w="461" w:type="dxa"/>
            <w:vMerge w:val="restart"/>
            <w:tcBorders>
              <w:top w:val="nil"/>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喷漆</w:t>
            </w:r>
          </w:p>
          <w:p>
            <w:pPr>
              <w:spacing w:line="280" w:lineRule="exact"/>
              <w:ind w:firstLine="0" w:firstLineChars="0"/>
              <w:jc w:val="center"/>
              <w:rPr>
                <w:rFonts w:hint="eastAsia" w:ascii="宋体" w:hAnsi="宋体" w:cs="Times New Roman"/>
                <w:color w:val="auto"/>
                <w:sz w:val="21"/>
                <w:szCs w:val="21"/>
              </w:rPr>
            </w:pPr>
          </w:p>
        </w:tc>
        <w:tc>
          <w:tcPr>
            <w:tcW w:w="1624"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喷漆房</w:t>
            </w:r>
            <w:r>
              <w:rPr>
                <w:rFonts w:hint="eastAsia" w:cs="Times New Roman"/>
                <w:color w:val="auto"/>
                <w:sz w:val="21"/>
                <w:szCs w:val="21"/>
              </w:rPr>
              <w:t>2</w:t>
            </w:r>
          </w:p>
        </w:tc>
        <w:tc>
          <w:tcPr>
            <w:tcW w:w="212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s="Times New Roman"/>
                <w:color w:val="auto"/>
                <w:sz w:val="21"/>
                <w:szCs w:val="21"/>
              </w:rPr>
              <w:t>7</w:t>
            </w:r>
            <w:r>
              <w:rPr>
                <w:rFonts w:hint="eastAsia" w:ascii="宋体" w:hAnsi="宋体" w:cs="Times New Roman"/>
                <w:color w:val="auto"/>
                <w:sz w:val="21"/>
                <w:szCs w:val="21"/>
              </w:rPr>
              <w:t>米</w:t>
            </w:r>
            <w:r>
              <w:rPr>
                <w:rFonts w:hint="eastAsia" w:cs="Times New Roman"/>
                <w:color w:val="auto"/>
                <w:sz w:val="21"/>
                <w:szCs w:val="21"/>
              </w:rPr>
              <w:t>*5.6</w:t>
            </w:r>
            <w:r>
              <w:rPr>
                <w:rFonts w:hint="eastAsia" w:ascii="宋体" w:hAnsi="宋体" w:cs="Times New Roman"/>
                <w:color w:val="auto"/>
                <w:sz w:val="21"/>
                <w:szCs w:val="21"/>
              </w:rPr>
              <w:t>米</w:t>
            </w:r>
            <w:r>
              <w:rPr>
                <w:rFonts w:hint="eastAsia" w:cs="Times New Roman"/>
                <w:color w:val="auto"/>
                <w:sz w:val="21"/>
                <w:szCs w:val="21"/>
              </w:rPr>
              <w:t>*4.2</w:t>
            </w:r>
            <w:r>
              <w:rPr>
                <w:rFonts w:hint="eastAsia" w:ascii="宋体" w:hAnsi="宋体" w:cs="Times New Roman"/>
                <w:color w:val="auto"/>
                <w:sz w:val="21"/>
                <w:szCs w:val="21"/>
              </w:rPr>
              <w:t>米</w:t>
            </w:r>
          </w:p>
        </w:tc>
        <w:tc>
          <w:tcPr>
            <w:tcW w:w="109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cs="Times New Roman"/>
                <w:color w:val="auto"/>
                <w:sz w:val="21"/>
                <w:szCs w:val="21"/>
              </w:rPr>
              <w:t>1</w:t>
            </w:r>
            <w:r>
              <w:rPr>
                <w:rFonts w:hint="eastAsia" w:ascii="宋体" w:hAnsi="宋体" w:cs="Times New Roman"/>
                <w:color w:val="auto"/>
                <w:sz w:val="21"/>
                <w:szCs w:val="21"/>
              </w:rPr>
              <w:t>个</w:t>
            </w:r>
          </w:p>
        </w:tc>
        <w:tc>
          <w:tcPr>
            <w:tcW w:w="1148"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cs="Times New Roman"/>
                <w:color w:val="auto"/>
                <w:sz w:val="21"/>
                <w:szCs w:val="21"/>
              </w:rPr>
              <w:t>1</w:t>
            </w:r>
            <w:r>
              <w:rPr>
                <w:rFonts w:hint="eastAsia" w:ascii="宋体" w:hAnsi="宋体" w:cs="Times New Roman"/>
                <w:color w:val="auto"/>
                <w:sz w:val="21"/>
                <w:szCs w:val="21"/>
              </w:rPr>
              <w:t>个</w:t>
            </w:r>
          </w:p>
        </w:tc>
        <w:tc>
          <w:tcPr>
            <w:tcW w:w="1071"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5" w:hRule="atLeast"/>
        </w:trPr>
        <w:tc>
          <w:tcPr>
            <w:tcW w:w="53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28</w:t>
            </w:r>
          </w:p>
        </w:tc>
        <w:tc>
          <w:tcPr>
            <w:tcW w:w="45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hint="eastAsia" w:ascii="宋体" w:hAnsi="宋体" w:cs="Times New Roman"/>
                <w:color w:val="auto"/>
                <w:sz w:val="21"/>
                <w:szCs w:val="21"/>
              </w:rPr>
            </w:pPr>
          </w:p>
        </w:tc>
        <w:tc>
          <w:tcPr>
            <w:tcW w:w="461"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hint="eastAsia" w:ascii="宋体" w:hAnsi="宋体" w:cs="Times New Roman"/>
                <w:color w:val="auto"/>
                <w:sz w:val="21"/>
                <w:szCs w:val="21"/>
              </w:rPr>
            </w:pPr>
          </w:p>
        </w:tc>
        <w:tc>
          <w:tcPr>
            <w:tcW w:w="1624"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ascii="宋体" w:hAnsi="宋体" w:cs="Times New Roman"/>
                <w:color w:val="auto"/>
                <w:sz w:val="21"/>
                <w:szCs w:val="21"/>
              </w:rPr>
              <w:t>水帘柜（</w:t>
            </w:r>
            <w:r>
              <w:rPr>
                <w:rFonts w:hint="eastAsia" w:cs="Times New Roman"/>
                <w:color w:val="auto"/>
                <w:sz w:val="21"/>
                <w:szCs w:val="21"/>
              </w:rPr>
              <w:t>3</w:t>
            </w:r>
            <w:r>
              <w:rPr>
                <w:rFonts w:hint="eastAsia" w:ascii="宋体" w:hAnsi="宋体" w:cs="Times New Roman"/>
                <w:color w:val="auto"/>
                <w:sz w:val="21"/>
                <w:szCs w:val="21"/>
              </w:rPr>
              <w:t>号）</w:t>
            </w:r>
          </w:p>
        </w:tc>
        <w:tc>
          <w:tcPr>
            <w:tcW w:w="212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highlight w:val="yellow"/>
              </w:rPr>
            </w:pPr>
            <w:r>
              <w:rPr>
                <w:rFonts w:hint="eastAsia" w:ascii="宋体" w:hAnsi="宋体" w:cs="Times New Roman"/>
                <w:color w:val="auto"/>
                <w:sz w:val="21"/>
                <w:szCs w:val="21"/>
              </w:rPr>
              <w:t>每个水帘柜尺寸</w:t>
            </w:r>
            <w:r>
              <w:rPr>
                <w:rFonts w:hint="eastAsia" w:cs="Times New Roman"/>
                <w:color w:val="auto"/>
                <w:sz w:val="21"/>
                <w:szCs w:val="21"/>
              </w:rPr>
              <w:t>4</w:t>
            </w:r>
            <w:r>
              <w:rPr>
                <w:rFonts w:hint="eastAsia" w:ascii="宋体" w:hAnsi="宋体" w:cs="Times New Roman"/>
                <w:color w:val="auto"/>
                <w:sz w:val="21"/>
                <w:szCs w:val="21"/>
              </w:rPr>
              <w:t>米</w:t>
            </w:r>
            <w:r>
              <w:rPr>
                <w:rFonts w:hint="eastAsia" w:cs="Times New Roman"/>
                <w:color w:val="auto"/>
                <w:sz w:val="21"/>
                <w:szCs w:val="21"/>
              </w:rPr>
              <w:t>*1.5</w:t>
            </w:r>
            <w:r>
              <w:rPr>
                <w:rFonts w:hint="eastAsia" w:ascii="宋体" w:hAnsi="宋体" w:cs="Times New Roman"/>
                <w:color w:val="auto"/>
                <w:sz w:val="21"/>
                <w:szCs w:val="21"/>
              </w:rPr>
              <w:t>米</w:t>
            </w:r>
            <w:r>
              <w:rPr>
                <w:rFonts w:hint="eastAsia" w:cs="Times New Roman"/>
                <w:color w:val="auto"/>
                <w:sz w:val="21"/>
                <w:szCs w:val="21"/>
              </w:rPr>
              <w:t>*3</w:t>
            </w:r>
            <w:r>
              <w:rPr>
                <w:rFonts w:hint="eastAsia" w:ascii="宋体" w:hAnsi="宋体" w:cs="Times New Roman"/>
                <w:color w:val="auto"/>
                <w:sz w:val="21"/>
                <w:szCs w:val="21"/>
              </w:rPr>
              <w:t>米；循环池尺寸</w:t>
            </w:r>
            <w:r>
              <w:rPr>
                <w:rFonts w:hint="eastAsia" w:cs="Times New Roman"/>
                <w:color w:val="auto"/>
                <w:sz w:val="21"/>
                <w:szCs w:val="21"/>
              </w:rPr>
              <w:t>4</w:t>
            </w:r>
            <w:r>
              <w:rPr>
                <w:rFonts w:hint="eastAsia" w:ascii="宋体" w:hAnsi="宋体" w:cs="Times New Roman"/>
                <w:color w:val="auto"/>
                <w:sz w:val="21"/>
                <w:szCs w:val="21"/>
              </w:rPr>
              <w:t>米</w:t>
            </w:r>
            <w:r>
              <w:rPr>
                <w:rFonts w:hint="eastAsia" w:cs="Times New Roman"/>
                <w:color w:val="auto"/>
                <w:sz w:val="21"/>
                <w:szCs w:val="21"/>
              </w:rPr>
              <w:t>*1.5</w:t>
            </w:r>
            <w:r>
              <w:rPr>
                <w:rFonts w:hint="eastAsia" w:ascii="宋体" w:hAnsi="宋体" w:cs="Times New Roman"/>
                <w:color w:val="auto"/>
                <w:sz w:val="21"/>
                <w:szCs w:val="21"/>
              </w:rPr>
              <w:t>米</w:t>
            </w:r>
            <w:r>
              <w:rPr>
                <w:rFonts w:hint="eastAsia" w:cs="Times New Roman"/>
                <w:color w:val="auto"/>
                <w:sz w:val="21"/>
                <w:szCs w:val="21"/>
              </w:rPr>
              <w:t>*0.2</w:t>
            </w:r>
            <w:r>
              <w:rPr>
                <w:rFonts w:hint="eastAsia" w:ascii="宋体" w:hAnsi="宋体" w:cs="Times New Roman"/>
                <w:color w:val="auto"/>
                <w:sz w:val="21"/>
                <w:szCs w:val="21"/>
              </w:rPr>
              <w:t>米；水泵流量</w:t>
            </w:r>
            <w:r>
              <w:rPr>
                <w:rFonts w:hint="eastAsia" w:cs="Times New Roman"/>
                <w:color w:val="auto"/>
                <w:sz w:val="21"/>
                <w:szCs w:val="21"/>
              </w:rPr>
              <w:t>15m</w:t>
            </w:r>
            <w:r>
              <w:rPr>
                <w:rFonts w:hint="eastAsia" w:cs="Times New Roman"/>
                <w:color w:val="auto"/>
                <w:sz w:val="21"/>
                <w:szCs w:val="21"/>
                <w:vertAlign w:val="superscript"/>
              </w:rPr>
              <w:t>3</w:t>
            </w:r>
            <w:r>
              <w:rPr>
                <w:rFonts w:hint="eastAsia" w:cs="Times New Roman"/>
                <w:color w:val="auto"/>
                <w:sz w:val="21"/>
                <w:szCs w:val="21"/>
              </w:rPr>
              <w:t>/h</w:t>
            </w:r>
          </w:p>
        </w:tc>
        <w:tc>
          <w:tcPr>
            <w:tcW w:w="109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cs="Times New Roman"/>
                <w:color w:val="auto"/>
                <w:sz w:val="21"/>
                <w:szCs w:val="21"/>
              </w:rPr>
              <w:t>1</w:t>
            </w:r>
            <w:r>
              <w:rPr>
                <w:rFonts w:hint="eastAsia" w:ascii="宋体" w:hAnsi="宋体" w:cs="Times New Roman"/>
                <w:color w:val="auto"/>
                <w:sz w:val="21"/>
                <w:szCs w:val="21"/>
              </w:rPr>
              <w:t>个</w:t>
            </w:r>
          </w:p>
        </w:tc>
        <w:tc>
          <w:tcPr>
            <w:tcW w:w="1148"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cs="Times New Roman"/>
                <w:color w:val="auto"/>
                <w:sz w:val="21"/>
                <w:szCs w:val="21"/>
              </w:rPr>
              <w:t>1</w:t>
            </w:r>
            <w:r>
              <w:rPr>
                <w:rFonts w:hint="eastAsia" w:ascii="宋体" w:hAnsi="宋体" w:cs="Times New Roman"/>
                <w:color w:val="auto"/>
                <w:sz w:val="21"/>
                <w:szCs w:val="21"/>
              </w:rPr>
              <w:t>个</w:t>
            </w:r>
          </w:p>
        </w:tc>
        <w:tc>
          <w:tcPr>
            <w:tcW w:w="1071"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5" w:hRule="atLeast"/>
        </w:trPr>
        <w:tc>
          <w:tcPr>
            <w:tcW w:w="53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29</w:t>
            </w:r>
          </w:p>
        </w:tc>
        <w:tc>
          <w:tcPr>
            <w:tcW w:w="45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hint="eastAsia" w:ascii="宋体" w:hAnsi="宋体" w:cs="Times New Roman"/>
                <w:color w:val="auto"/>
                <w:sz w:val="21"/>
                <w:szCs w:val="21"/>
              </w:rPr>
            </w:pPr>
          </w:p>
        </w:tc>
        <w:tc>
          <w:tcPr>
            <w:tcW w:w="461"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hint="eastAsia" w:ascii="宋体" w:hAnsi="宋体" w:cs="Times New Roman"/>
                <w:color w:val="auto"/>
                <w:sz w:val="21"/>
                <w:szCs w:val="21"/>
              </w:rPr>
            </w:pPr>
          </w:p>
        </w:tc>
        <w:tc>
          <w:tcPr>
            <w:tcW w:w="1624"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ascii="宋体" w:hAnsi="宋体" w:cs="Times New Roman"/>
                <w:color w:val="auto"/>
                <w:sz w:val="21"/>
                <w:szCs w:val="21"/>
              </w:rPr>
              <w:t>人工喷枪</w:t>
            </w:r>
          </w:p>
        </w:tc>
        <w:tc>
          <w:tcPr>
            <w:tcW w:w="212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s="Times New Roman"/>
                <w:color w:val="auto"/>
                <w:sz w:val="21"/>
                <w:szCs w:val="21"/>
              </w:rPr>
              <w:t>/</w:t>
            </w:r>
          </w:p>
        </w:tc>
        <w:tc>
          <w:tcPr>
            <w:tcW w:w="109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highlight w:val="yellow"/>
              </w:rPr>
            </w:pPr>
            <w:r>
              <w:rPr>
                <w:rFonts w:cs="Times New Roman"/>
                <w:color w:val="auto"/>
                <w:sz w:val="21"/>
                <w:szCs w:val="21"/>
              </w:rPr>
              <w:t>2</w:t>
            </w:r>
            <w:r>
              <w:rPr>
                <w:rFonts w:hint="eastAsia" w:ascii="宋体" w:hAnsi="宋体" w:cs="Times New Roman"/>
                <w:color w:val="auto"/>
                <w:sz w:val="21"/>
                <w:szCs w:val="21"/>
              </w:rPr>
              <w:t>把</w:t>
            </w:r>
          </w:p>
        </w:tc>
        <w:tc>
          <w:tcPr>
            <w:tcW w:w="1148"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cs="Times New Roman"/>
                <w:color w:val="auto"/>
                <w:sz w:val="21"/>
                <w:szCs w:val="21"/>
              </w:rPr>
              <w:t>2</w:t>
            </w:r>
            <w:r>
              <w:rPr>
                <w:rFonts w:hint="eastAsia" w:ascii="宋体" w:hAnsi="宋体" w:cs="Times New Roman"/>
                <w:color w:val="auto"/>
                <w:sz w:val="21"/>
                <w:szCs w:val="21"/>
              </w:rPr>
              <w:t>把</w:t>
            </w:r>
          </w:p>
        </w:tc>
        <w:tc>
          <w:tcPr>
            <w:tcW w:w="1071"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5" w:hRule="atLeast"/>
        </w:trPr>
        <w:tc>
          <w:tcPr>
            <w:tcW w:w="53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30</w:t>
            </w:r>
          </w:p>
        </w:tc>
        <w:tc>
          <w:tcPr>
            <w:tcW w:w="45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hint="eastAsia" w:ascii="宋体" w:hAnsi="宋体" w:cs="Times New Roman"/>
                <w:color w:val="auto"/>
                <w:sz w:val="21"/>
                <w:szCs w:val="21"/>
              </w:rPr>
            </w:pPr>
          </w:p>
        </w:tc>
        <w:tc>
          <w:tcPr>
            <w:tcW w:w="461"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hint="eastAsia" w:ascii="宋体" w:hAnsi="宋体" w:cs="Times New Roman"/>
                <w:color w:val="auto"/>
                <w:sz w:val="21"/>
                <w:szCs w:val="21"/>
              </w:rPr>
            </w:pPr>
          </w:p>
        </w:tc>
        <w:tc>
          <w:tcPr>
            <w:tcW w:w="1624"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ascii="宋体" w:hAnsi="宋体" w:cs="Times New Roman"/>
                <w:color w:val="auto"/>
                <w:sz w:val="21"/>
                <w:szCs w:val="21"/>
              </w:rPr>
              <w:t>风机</w:t>
            </w:r>
          </w:p>
        </w:tc>
        <w:tc>
          <w:tcPr>
            <w:tcW w:w="212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ascii="宋体" w:hAnsi="宋体" w:cs="Times New Roman"/>
                <w:color w:val="auto"/>
                <w:sz w:val="21"/>
                <w:szCs w:val="21"/>
              </w:rPr>
              <w:t>风量</w:t>
            </w:r>
            <w:r>
              <w:rPr>
                <w:rFonts w:hint="eastAsia" w:cs="Times New Roman"/>
                <w:color w:val="auto"/>
                <w:sz w:val="21"/>
                <w:szCs w:val="21"/>
              </w:rPr>
              <w:t>20000m</w:t>
            </w:r>
            <w:r>
              <w:rPr>
                <w:rFonts w:hint="eastAsia" w:cs="Times New Roman"/>
                <w:color w:val="auto"/>
                <w:sz w:val="21"/>
                <w:szCs w:val="21"/>
                <w:vertAlign w:val="superscript"/>
              </w:rPr>
              <w:t>3</w:t>
            </w:r>
            <w:r>
              <w:rPr>
                <w:rFonts w:hint="eastAsia" w:cs="Times New Roman"/>
                <w:color w:val="auto"/>
                <w:sz w:val="21"/>
                <w:szCs w:val="21"/>
              </w:rPr>
              <w:t>/h</w:t>
            </w:r>
          </w:p>
        </w:tc>
        <w:tc>
          <w:tcPr>
            <w:tcW w:w="109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highlight w:val="yellow"/>
              </w:rPr>
            </w:pPr>
            <w:r>
              <w:rPr>
                <w:rFonts w:cs="Times New Roman"/>
                <w:color w:val="auto"/>
                <w:sz w:val="21"/>
                <w:szCs w:val="21"/>
              </w:rPr>
              <w:t>2</w:t>
            </w:r>
            <w:r>
              <w:rPr>
                <w:rFonts w:hint="eastAsia" w:ascii="宋体" w:hAnsi="宋体" w:cs="Times New Roman"/>
                <w:color w:val="auto"/>
                <w:sz w:val="21"/>
                <w:szCs w:val="21"/>
              </w:rPr>
              <w:t>台</w:t>
            </w:r>
          </w:p>
        </w:tc>
        <w:tc>
          <w:tcPr>
            <w:tcW w:w="1148"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2</w:t>
            </w:r>
            <w:r>
              <w:rPr>
                <w:rFonts w:hint="eastAsia" w:ascii="宋体" w:hAnsi="宋体" w:cs="Times New Roman"/>
                <w:color w:val="auto"/>
                <w:sz w:val="21"/>
                <w:szCs w:val="21"/>
              </w:rPr>
              <w:t>台</w:t>
            </w:r>
          </w:p>
        </w:tc>
        <w:tc>
          <w:tcPr>
            <w:tcW w:w="1071"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5" w:hRule="atLeast"/>
        </w:trPr>
        <w:tc>
          <w:tcPr>
            <w:tcW w:w="53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31</w:t>
            </w:r>
          </w:p>
        </w:tc>
        <w:tc>
          <w:tcPr>
            <w:tcW w:w="45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hint="eastAsia" w:ascii="宋体" w:hAnsi="宋体" w:cs="Times New Roman"/>
                <w:color w:val="auto"/>
                <w:sz w:val="21"/>
                <w:szCs w:val="21"/>
              </w:rPr>
            </w:pPr>
          </w:p>
        </w:tc>
        <w:tc>
          <w:tcPr>
            <w:tcW w:w="461"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hint="eastAsia" w:ascii="宋体" w:hAnsi="宋体" w:cs="Times New Roman"/>
                <w:color w:val="auto"/>
                <w:sz w:val="21"/>
                <w:szCs w:val="21"/>
              </w:rPr>
            </w:pPr>
          </w:p>
        </w:tc>
        <w:tc>
          <w:tcPr>
            <w:tcW w:w="1624"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ascii="宋体" w:hAnsi="宋体" w:cs="Times New Roman"/>
                <w:color w:val="auto"/>
                <w:sz w:val="21"/>
                <w:szCs w:val="21"/>
              </w:rPr>
              <w:t>流平段</w:t>
            </w:r>
          </w:p>
        </w:tc>
        <w:tc>
          <w:tcPr>
            <w:tcW w:w="212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s="Times New Roman"/>
                <w:color w:val="auto"/>
                <w:sz w:val="21"/>
                <w:szCs w:val="21"/>
              </w:rPr>
              <w:t>2</w:t>
            </w:r>
            <w:r>
              <w:rPr>
                <w:rFonts w:hint="eastAsia" w:ascii="宋体" w:hAnsi="宋体" w:cs="Times New Roman"/>
                <w:color w:val="auto"/>
                <w:sz w:val="21"/>
                <w:szCs w:val="21"/>
              </w:rPr>
              <w:t>米</w:t>
            </w:r>
            <w:r>
              <w:rPr>
                <w:rFonts w:hint="eastAsia" w:cs="Times New Roman"/>
                <w:color w:val="auto"/>
                <w:sz w:val="21"/>
                <w:szCs w:val="21"/>
              </w:rPr>
              <w:t>*5.6</w:t>
            </w:r>
            <w:r>
              <w:rPr>
                <w:rFonts w:hint="eastAsia" w:ascii="宋体" w:hAnsi="宋体" w:cs="Times New Roman"/>
                <w:color w:val="auto"/>
                <w:sz w:val="21"/>
                <w:szCs w:val="21"/>
              </w:rPr>
              <w:t>米</w:t>
            </w:r>
            <w:r>
              <w:rPr>
                <w:rFonts w:hint="eastAsia" w:cs="Times New Roman"/>
                <w:color w:val="auto"/>
                <w:sz w:val="21"/>
                <w:szCs w:val="21"/>
              </w:rPr>
              <w:t>*4.2</w:t>
            </w:r>
            <w:r>
              <w:rPr>
                <w:rFonts w:hint="eastAsia" w:ascii="宋体" w:hAnsi="宋体" w:cs="Times New Roman"/>
                <w:color w:val="auto"/>
                <w:sz w:val="21"/>
                <w:szCs w:val="21"/>
              </w:rPr>
              <w:t>米</w:t>
            </w:r>
          </w:p>
        </w:tc>
        <w:tc>
          <w:tcPr>
            <w:tcW w:w="109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cs="Times New Roman"/>
                <w:color w:val="auto"/>
                <w:sz w:val="21"/>
                <w:szCs w:val="21"/>
              </w:rPr>
              <w:t>1</w:t>
            </w:r>
            <w:r>
              <w:rPr>
                <w:rFonts w:hint="eastAsia" w:ascii="宋体" w:hAnsi="宋体" w:cs="Times New Roman"/>
                <w:color w:val="auto"/>
                <w:sz w:val="21"/>
                <w:szCs w:val="21"/>
              </w:rPr>
              <w:t>段</w:t>
            </w:r>
          </w:p>
        </w:tc>
        <w:tc>
          <w:tcPr>
            <w:tcW w:w="1148"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cs="Times New Roman"/>
                <w:color w:val="auto"/>
                <w:sz w:val="21"/>
                <w:szCs w:val="21"/>
              </w:rPr>
              <w:t>1</w:t>
            </w:r>
            <w:r>
              <w:rPr>
                <w:rFonts w:hint="eastAsia" w:ascii="宋体" w:hAnsi="宋体" w:cs="Times New Roman"/>
                <w:color w:val="auto"/>
                <w:sz w:val="21"/>
                <w:szCs w:val="21"/>
              </w:rPr>
              <w:t>段</w:t>
            </w:r>
          </w:p>
        </w:tc>
        <w:tc>
          <w:tcPr>
            <w:tcW w:w="1071"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5" w:hRule="atLeast"/>
        </w:trPr>
        <w:tc>
          <w:tcPr>
            <w:tcW w:w="53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32</w:t>
            </w:r>
          </w:p>
        </w:tc>
        <w:tc>
          <w:tcPr>
            <w:tcW w:w="45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hint="eastAsia" w:ascii="宋体" w:hAnsi="宋体" w:cs="Times New Roman"/>
                <w:color w:val="auto"/>
                <w:sz w:val="21"/>
                <w:szCs w:val="21"/>
              </w:rPr>
            </w:pPr>
          </w:p>
        </w:tc>
        <w:tc>
          <w:tcPr>
            <w:tcW w:w="461"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ascii="宋体" w:hAnsi="宋体" w:cs="Times New Roman"/>
                <w:color w:val="auto"/>
                <w:sz w:val="21"/>
                <w:szCs w:val="21"/>
              </w:rPr>
              <w:t>烘干</w:t>
            </w:r>
          </w:p>
        </w:tc>
        <w:tc>
          <w:tcPr>
            <w:tcW w:w="1624"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烤漆炉</w:t>
            </w:r>
            <w:r>
              <w:rPr>
                <w:rFonts w:hint="eastAsia" w:cs="Times New Roman"/>
                <w:color w:val="auto"/>
                <w:sz w:val="21"/>
                <w:szCs w:val="21"/>
              </w:rPr>
              <w:t>2</w:t>
            </w:r>
          </w:p>
        </w:tc>
        <w:tc>
          <w:tcPr>
            <w:tcW w:w="212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ascii="宋体" w:hAnsi="宋体" w:cs="Times New Roman"/>
                <w:color w:val="auto"/>
                <w:sz w:val="21"/>
                <w:szCs w:val="21"/>
              </w:rPr>
              <w:t>面包炉型，</w:t>
            </w:r>
            <w:r>
              <w:rPr>
                <w:rFonts w:hint="eastAsia" w:cs="Times New Roman"/>
                <w:color w:val="auto"/>
                <w:sz w:val="21"/>
                <w:szCs w:val="21"/>
              </w:rPr>
              <w:t>7</w:t>
            </w:r>
            <w:r>
              <w:rPr>
                <w:rFonts w:hint="eastAsia" w:ascii="宋体" w:hAnsi="宋体" w:cs="Times New Roman"/>
                <w:color w:val="auto"/>
                <w:sz w:val="21"/>
                <w:szCs w:val="21"/>
              </w:rPr>
              <w:t>米</w:t>
            </w:r>
            <w:r>
              <w:rPr>
                <w:rFonts w:hint="eastAsia" w:cs="Times New Roman"/>
                <w:color w:val="auto"/>
                <w:sz w:val="21"/>
                <w:szCs w:val="21"/>
              </w:rPr>
              <w:t>*3.3</w:t>
            </w:r>
            <w:r>
              <w:rPr>
                <w:rFonts w:hint="eastAsia" w:ascii="宋体" w:hAnsi="宋体" w:cs="Times New Roman"/>
                <w:color w:val="auto"/>
                <w:sz w:val="21"/>
                <w:szCs w:val="21"/>
              </w:rPr>
              <w:t>米</w:t>
            </w:r>
            <w:r>
              <w:rPr>
                <w:rFonts w:hint="eastAsia" w:cs="Times New Roman"/>
                <w:color w:val="auto"/>
                <w:sz w:val="21"/>
                <w:szCs w:val="21"/>
              </w:rPr>
              <w:t>*4.2</w:t>
            </w:r>
            <w:r>
              <w:rPr>
                <w:rFonts w:hint="eastAsia" w:ascii="宋体" w:hAnsi="宋体" w:cs="Times New Roman"/>
                <w:color w:val="auto"/>
                <w:sz w:val="21"/>
                <w:szCs w:val="21"/>
              </w:rPr>
              <w:t>米；配套低氮燃烧机</w:t>
            </w:r>
          </w:p>
        </w:tc>
        <w:tc>
          <w:tcPr>
            <w:tcW w:w="109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cs="Times New Roman"/>
                <w:color w:val="auto"/>
                <w:sz w:val="21"/>
                <w:szCs w:val="21"/>
              </w:rPr>
              <w:t>1</w:t>
            </w:r>
            <w:r>
              <w:rPr>
                <w:rFonts w:hint="eastAsia" w:ascii="宋体" w:hAnsi="宋体" w:cs="Times New Roman"/>
                <w:color w:val="auto"/>
                <w:sz w:val="21"/>
                <w:szCs w:val="21"/>
              </w:rPr>
              <w:t>个</w:t>
            </w:r>
          </w:p>
        </w:tc>
        <w:tc>
          <w:tcPr>
            <w:tcW w:w="1148"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cs="Times New Roman"/>
                <w:color w:val="auto"/>
                <w:sz w:val="21"/>
                <w:szCs w:val="21"/>
              </w:rPr>
              <w:t>1</w:t>
            </w:r>
            <w:r>
              <w:rPr>
                <w:rFonts w:hint="eastAsia" w:ascii="宋体" w:hAnsi="宋体" w:cs="Times New Roman"/>
                <w:color w:val="auto"/>
                <w:sz w:val="21"/>
                <w:szCs w:val="21"/>
              </w:rPr>
              <w:t>个</w:t>
            </w:r>
          </w:p>
        </w:tc>
        <w:tc>
          <w:tcPr>
            <w:tcW w:w="1071"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5" w:hRule="atLeast"/>
        </w:trPr>
        <w:tc>
          <w:tcPr>
            <w:tcW w:w="53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33</w:t>
            </w:r>
          </w:p>
        </w:tc>
        <w:tc>
          <w:tcPr>
            <w:tcW w:w="459" w:type="dxa"/>
            <w:vMerge w:val="restart"/>
            <w:tcBorders>
              <w:top w:val="nil"/>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装配及成品调试区</w:t>
            </w:r>
          </w:p>
        </w:tc>
        <w:tc>
          <w:tcPr>
            <w:tcW w:w="461" w:type="dxa"/>
            <w:vMerge w:val="restart"/>
            <w:tcBorders>
              <w:top w:val="nil"/>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装配</w:t>
            </w:r>
          </w:p>
        </w:tc>
        <w:tc>
          <w:tcPr>
            <w:tcW w:w="1624"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手磨机</w:t>
            </w:r>
          </w:p>
        </w:tc>
        <w:tc>
          <w:tcPr>
            <w:tcW w:w="212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w:t>
            </w:r>
          </w:p>
        </w:tc>
        <w:tc>
          <w:tcPr>
            <w:tcW w:w="109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2</w:t>
            </w:r>
            <w:r>
              <w:rPr>
                <w:rFonts w:hint="eastAsia" w:ascii="宋体" w:hAnsi="宋体" w:cs="Times New Roman"/>
                <w:color w:val="auto"/>
                <w:sz w:val="21"/>
                <w:szCs w:val="21"/>
              </w:rPr>
              <w:t>台</w:t>
            </w:r>
          </w:p>
        </w:tc>
        <w:tc>
          <w:tcPr>
            <w:tcW w:w="1148"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cs="Times New Roman"/>
                <w:color w:val="auto"/>
                <w:sz w:val="21"/>
                <w:szCs w:val="21"/>
              </w:rPr>
              <w:t>2</w:t>
            </w:r>
            <w:r>
              <w:rPr>
                <w:rFonts w:hint="eastAsia" w:ascii="宋体" w:hAnsi="宋体" w:cs="Times New Roman"/>
                <w:color w:val="auto"/>
                <w:sz w:val="21"/>
                <w:szCs w:val="21"/>
              </w:rPr>
              <w:t>台</w:t>
            </w:r>
          </w:p>
        </w:tc>
        <w:tc>
          <w:tcPr>
            <w:tcW w:w="1071"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5" w:hRule="atLeast"/>
        </w:trPr>
        <w:tc>
          <w:tcPr>
            <w:tcW w:w="53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34</w:t>
            </w:r>
          </w:p>
        </w:tc>
        <w:tc>
          <w:tcPr>
            <w:tcW w:w="45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461"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624"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ascii="宋体" w:hAnsi="宋体" w:cs="Times New Roman"/>
                <w:color w:val="auto"/>
                <w:sz w:val="21"/>
                <w:szCs w:val="21"/>
              </w:rPr>
              <w:t>电钻</w:t>
            </w:r>
          </w:p>
        </w:tc>
        <w:tc>
          <w:tcPr>
            <w:tcW w:w="212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s="Times New Roman"/>
                <w:color w:val="auto"/>
                <w:sz w:val="21"/>
                <w:szCs w:val="21"/>
              </w:rPr>
              <w:t>/</w:t>
            </w:r>
          </w:p>
        </w:tc>
        <w:tc>
          <w:tcPr>
            <w:tcW w:w="109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cs="Times New Roman"/>
                <w:color w:val="auto"/>
                <w:sz w:val="21"/>
                <w:szCs w:val="21"/>
              </w:rPr>
              <w:t>6</w:t>
            </w:r>
            <w:r>
              <w:rPr>
                <w:rFonts w:hint="eastAsia" w:ascii="宋体" w:hAnsi="宋体" w:cs="Times New Roman"/>
                <w:color w:val="auto"/>
                <w:sz w:val="21"/>
                <w:szCs w:val="21"/>
              </w:rPr>
              <w:t>台</w:t>
            </w:r>
          </w:p>
        </w:tc>
        <w:tc>
          <w:tcPr>
            <w:tcW w:w="1148"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cs="Times New Roman"/>
                <w:color w:val="auto"/>
                <w:sz w:val="21"/>
                <w:szCs w:val="21"/>
              </w:rPr>
              <w:t>6</w:t>
            </w:r>
            <w:r>
              <w:rPr>
                <w:rFonts w:hint="eastAsia" w:ascii="宋体" w:hAnsi="宋体" w:cs="Times New Roman"/>
                <w:color w:val="auto"/>
                <w:sz w:val="21"/>
                <w:szCs w:val="21"/>
              </w:rPr>
              <w:t>台</w:t>
            </w:r>
          </w:p>
        </w:tc>
        <w:tc>
          <w:tcPr>
            <w:tcW w:w="1071"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5" w:hRule="atLeast"/>
        </w:trPr>
        <w:tc>
          <w:tcPr>
            <w:tcW w:w="53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35</w:t>
            </w:r>
          </w:p>
        </w:tc>
        <w:tc>
          <w:tcPr>
            <w:tcW w:w="45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461"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624"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ascii="宋体" w:hAnsi="宋体" w:cs="Times New Roman"/>
                <w:color w:val="auto"/>
                <w:sz w:val="21"/>
                <w:szCs w:val="21"/>
              </w:rPr>
              <w:t>割铝机</w:t>
            </w:r>
          </w:p>
        </w:tc>
        <w:tc>
          <w:tcPr>
            <w:tcW w:w="212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s="Times New Roman"/>
                <w:color w:val="auto"/>
                <w:sz w:val="21"/>
                <w:szCs w:val="21"/>
              </w:rPr>
              <w:t>/</w:t>
            </w:r>
          </w:p>
        </w:tc>
        <w:tc>
          <w:tcPr>
            <w:tcW w:w="109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cs="Times New Roman"/>
                <w:color w:val="auto"/>
                <w:sz w:val="21"/>
                <w:szCs w:val="21"/>
              </w:rPr>
              <w:t>1</w:t>
            </w:r>
            <w:r>
              <w:rPr>
                <w:rFonts w:hint="eastAsia" w:ascii="宋体" w:hAnsi="宋体" w:cs="Times New Roman"/>
                <w:color w:val="auto"/>
                <w:sz w:val="21"/>
                <w:szCs w:val="21"/>
              </w:rPr>
              <w:t>台</w:t>
            </w:r>
          </w:p>
        </w:tc>
        <w:tc>
          <w:tcPr>
            <w:tcW w:w="1148"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cs="Times New Roman"/>
                <w:color w:val="auto"/>
                <w:sz w:val="21"/>
                <w:szCs w:val="21"/>
              </w:rPr>
              <w:t>1</w:t>
            </w:r>
            <w:r>
              <w:rPr>
                <w:rFonts w:hint="eastAsia" w:ascii="宋体" w:hAnsi="宋体" w:cs="Times New Roman"/>
                <w:color w:val="auto"/>
                <w:sz w:val="21"/>
                <w:szCs w:val="21"/>
              </w:rPr>
              <w:t>台</w:t>
            </w:r>
          </w:p>
        </w:tc>
        <w:tc>
          <w:tcPr>
            <w:tcW w:w="1071"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5" w:hRule="atLeast"/>
        </w:trPr>
        <w:tc>
          <w:tcPr>
            <w:tcW w:w="53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36</w:t>
            </w:r>
          </w:p>
        </w:tc>
        <w:tc>
          <w:tcPr>
            <w:tcW w:w="920" w:type="dxa"/>
            <w:gridSpan w:val="2"/>
            <w:vMerge w:val="restart"/>
            <w:tcBorders>
              <w:top w:val="nil"/>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液化石油气区</w:t>
            </w:r>
          </w:p>
        </w:tc>
        <w:tc>
          <w:tcPr>
            <w:tcW w:w="1624"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空压机</w:t>
            </w:r>
          </w:p>
        </w:tc>
        <w:tc>
          <w:tcPr>
            <w:tcW w:w="212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SPS-20A</w:t>
            </w:r>
          </w:p>
        </w:tc>
        <w:tc>
          <w:tcPr>
            <w:tcW w:w="109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1</w:t>
            </w:r>
            <w:r>
              <w:rPr>
                <w:rFonts w:hint="eastAsia" w:ascii="宋体" w:hAnsi="宋体" w:cs="Times New Roman"/>
                <w:color w:val="auto"/>
                <w:sz w:val="21"/>
                <w:szCs w:val="21"/>
              </w:rPr>
              <w:t>台</w:t>
            </w:r>
          </w:p>
        </w:tc>
        <w:tc>
          <w:tcPr>
            <w:tcW w:w="1148"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s="Times New Roman"/>
                <w:color w:val="auto"/>
                <w:sz w:val="21"/>
                <w:szCs w:val="21"/>
              </w:rPr>
              <w:t>1</w:t>
            </w:r>
            <w:r>
              <w:rPr>
                <w:rFonts w:hint="eastAsia" w:ascii="宋体" w:hAnsi="宋体" w:cs="Times New Roman"/>
                <w:color w:val="auto"/>
                <w:sz w:val="21"/>
                <w:szCs w:val="21"/>
              </w:rPr>
              <w:t>台</w:t>
            </w:r>
          </w:p>
        </w:tc>
        <w:tc>
          <w:tcPr>
            <w:tcW w:w="1071"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5" w:hRule="atLeast"/>
        </w:trPr>
        <w:tc>
          <w:tcPr>
            <w:tcW w:w="53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38</w:t>
            </w:r>
          </w:p>
        </w:tc>
        <w:tc>
          <w:tcPr>
            <w:tcW w:w="920" w:type="dxa"/>
            <w:gridSpan w:val="2"/>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624"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LPG</w:t>
            </w:r>
            <w:r>
              <w:rPr>
                <w:rFonts w:hint="eastAsia" w:ascii="宋体" w:hAnsi="宋体" w:cs="Times New Roman"/>
                <w:color w:val="auto"/>
                <w:sz w:val="21"/>
                <w:szCs w:val="21"/>
              </w:rPr>
              <w:t>气化器</w:t>
            </w:r>
          </w:p>
        </w:tc>
        <w:tc>
          <w:tcPr>
            <w:tcW w:w="212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压力</w:t>
            </w:r>
            <w:r>
              <w:rPr>
                <w:rFonts w:hint="eastAsia" w:cs="Times New Roman"/>
                <w:color w:val="auto"/>
                <w:sz w:val="21"/>
                <w:szCs w:val="21"/>
              </w:rPr>
              <w:t>1.76Mpa</w:t>
            </w:r>
            <w:r>
              <w:rPr>
                <w:rFonts w:hint="eastAsia" w:ascii="宋体" w:hAnsi="宋体" w:cs="Times New Roman"/>
                <w:color w:val="auto"/>
                <w:sz w:val="21"/>
                <w:szCs w:val="21"/>
              </w:rPr>
              <w:t>，加热功率</w:t>
            </w:r>
            <w:r>
              <w:rPr>
                <w:rFonts w:hint="eastAsia" w:cs="Times New Roman"/>
                <w:color w:val="auto"/>
                <w:sz w:val="21"/>
                <w:szCs w:val="21"/>
              </w:rPr>
              <w:t>4kw</w:t>
            </w:r>
            <w:r>
              <w:rPr>
                <w:rFonts w:hint="eastAsia" w:ascii="宋体" w:hAnsi="宋体" w:cs="Times New Roman"/>
                <w:color w:val="auto"/>
                <w:sz w:val="21"/>
                <w:szCs w:val="21"/>
              </w:rPr>
              <w:t>，气化能力</w:t>
            </w:r>
            <w:r>
              <w:rPr>
                <w:rFonts w:hint="eastAsia" w:cs="Times New Roman"/>
                <w:color w:val="auto"/>
                <w:sz w:val="21"/>
                <w:szCs w:val="21"/>
              </w:rPr>
              <w:t>50kg/h</w:t>
            </w:r>
          </w:p>
        </w:tc>
        <w:tc>
          <w:tcPr>
            <w:tcW w:w="109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1</w:t>
            </w:r>
            <w:r>
              <w:rPr>
                <w:rFonts w:hint="eastAsia" w:ascii="宋体" w:hAnsi="宋体" w:cs="Times New Roman"/>
                <w:color w:val="auto"/>
                <w:sz w:val="21"/>
                <w:szCs w:val="21"/>
              </w:rPr>
              <w:t>个</w:t>
            </w:r>
          </w:p>
        </w:tc>
        <w:tc>
          <w:tcPr>
            <w:tcW w:w="1148"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s="Times New Roman"/>
                <w:color w:val="auto"/>
                <w:sz w:val="21"/>
                <w:szCs w:val="21"/>
              </w:rPr>
              <w:t>1</w:t>
            </w:r>
            <w:r>
              <w:rPr>
                <w:rFonts w:hint="eastAsia" w:ascii="宋体" w:hAnsi="宋体" w:cs="Times New Roman"/>
                <w:color w:val="auto"/>
                <w:sz w:val="21"/>
                <w:szCs w:val="21"/>
              </w:rPr>
              <w:t>个</w:t>
            </w:r>
          </w:p>
        </w:tc>
        <w:tc>
          <w:tcPr>
            <w:tcW w:w="1071"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5" w:hRule="atLeast"/>
        </w:trPr>
        <w:tc>
          <w:tcPr>
            <w:tcW w:w="53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39</w:t>
            </w:r>
          </w:p>
        </w:tc>
        <w:tc>
          <w:tcPr>
            <w:tcW w:w="920" w:type="dxa"/>
            <w:gridSpan w:val="2"/>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624"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冷冻式干燥机</w:t>
            </w:r>
          </w:p>
        </w:tc>
        <w:tc>
          <w:tcPr>
            <w:tcW w:w="212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w:t>
            </w:r>
          </w:p>
        </w:tc>
        <w:tc>
          <w:tcPr>
            <w:tcW w:w="109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1</w:t>
            </w:r>
            <w:r>
              <w:rPr>
                <w:rFonts w:hint="eastAsia" w:ascii="宋体" w:hAnsi="宋体" w:cs="Times New Roman"/>
                <w:color w:val="auto"/>
                <w:sz w:val="21"/>
                <w:szCs w:val="21"/>
              </w:rPr>
              <w:t>台</w:t>
            </w:r>
          </w:p>
        </w:tc>
        <w:tc>
          <w:tcPr>
            <w:tcW w:w="1148"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s="Times New Roman"/>
                <w:color w:val="auto"/>
                <w:sz w:val="21"/>
                <w:szCs w:val="21"/>
              </w:rPr>
              <w:t>1</w:t>
            </w:r>
            <w:r>
              <w:rPr>
                <w:rFonts w:hint="eastAsia" w:ascii="宋体" w:hAnsi="宋体" w:cs="Times New Roman"/>
                <w:color w:val="auto"/>
                <w:sz w:val="21"/>
                <w:szCs w:val="21"/>
              </w:rPr>
              <w:t>台</w:t>
            </w:r>
          </w:p>
        </w:tc>
        <w:tc>
          <w:tcPr>
            <w:tcW w:w="1071"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5" w:hRule="atLeast"/>
        </w:trPr>
        <w:tc>
          <w:tcPr>
            <w:tcW w:w="53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40</w:t>
            </w:r>
          </w:p>
        </w:tc>
        <w:tc>
          <w:tcPr>
            <w:tcW w:w="920" w:type="dxa"/>
            <w:gridSpan w:val="2"/>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624"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储气罐</w:t>
            </w:r>
          </w:p>
        </w:tc>
        <w:tc>
          <w:tcPr>
            <w:tcW w:w="212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压力</w:t>
            </w:r>
            <w:r>
              <w:rPr>
                <w:rFonts w:hint="eastAsia" w:cs="Times New Roman"/>
                <w:color w:val="auto"/>
                <w:sz w:val="21"/>
                <w:szCs w:val="21"/>
              </w:rPr>
              <w:t>0.84Mpa</w:t>
            </w:r>
            <w:r>
              <w:rPr>
                <w:rFonts w:hint="eastAsia" w:ascii="宋体" w:hAnsi="宋体" w:cs="Times New Roman"/>
                <w:color w:val="auto"/>
                <w:sz w:val="21"/>
                <w:szCs w:val="21"/>
              </w:rPr>
              <w:t>，容积</w:t>
            </w:r>
            <w:r>
              <w:rPr>
                <w:rFonts w:hint="eastAsia" w:cs="Times New Roman"/>
                <w:color w:val="auto"/>
                <w:sz w:val="21"/>
                <w:szCs w:val="21"/>
              </w:rPr>
              <w:t>1000L</w:t>
            </w:r>
          </w:p>
        </w:tc>
        <w:tc>
          <w:tcPr>
            <w:tcW w:w="109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1</w:t>
            </w:r>
            <w:r>
              <w:rPr>
                <w:rFonts w:hint="eastAsia" w:ascii="宋体" w:hAnsi="宋体" w:cs="Times New Roman"/>
                <w:color w:val="auto"/>
                <w:sz w:val="21"/>
                <w:szCs w:val="21"/>
              </w:rPr>
              <w:t>个</w:t>
            </w:r>
          </w:p>
        </w:tc>
        <w:tc>
          <w:tcPr>
            <w:tcW w:w="1148"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s="Times New Roman"/>
                <w:color w:val="auto"/>
                <w:sz w:val="21"/>
                <w:szCs w:val="21"/>
              </w:rPr>
              <w:t>1</w:t>
            </w:r>
            <w:r>
              <w:rPr>
                <w:rFonts w:hint="eastAsia" w:ascii="宋体" w:hAnsi="宋体" w:cs="Times New Roman"/>
                <w:color w:val="auto"/>
                <w:sz w:val="21"/>
                <w:szCs w:val="21"/>
              </w:rPr>
              <w:t>个</w:t>
            </w:r>
          </w:p>
        </w:tc>
        <w:tc>
          <w:tcPr>
            <w:tcW w:w="1071"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5" w:hRule="atLeast"/>
        </w:trPr>
        <w:tc>
          <w:tcPr>
            <w:tcW w:w="53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41</w:t>
            </w:r>
          </w:p>
        </w:tc>
        <w:tc>
          <w:tcPr>
            <w:tcW w:w="920" w:type="dxa"/>
            <w:gridSpan w:val="2"/>
            <w:vMerge w:val="restart"/>
            <w:tcBorders>
              <w:top w:val="nil"/>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废气处理</w:t>
            </w:r>
          </w:p>
        </w:tc>
        <w:tc>
          <w:tcPr>
            <w:tcW w:w="1624"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ascii="宋体" w:hAnsi="宋体" w:cs="Times New Roman"/>
                <w:color w:val="auto"/>
                <w:sz w:val="21"/>
                <w:szCs w:val="21"/>
              </w:rPr>
              <w:t>滤筒除尘器</w:t>
            </w:r>
          </w:p>
        </w:tc>
        <w:tc>
          <w:tcPr>
            <w:tcW w:w="212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12</w:t>
            </w:r>
            <w:r>
              <w:rPr>
                <w:rFonts w:hint="eastAsia" w:ascii="宋体" w:hAnsi="宋体" w:cs="Times New Roman"/>
                <w:color w:val="auto"/>
                <w:sz w:val="21"/>
                <w:szCs w:val="21"/>
              </w:rPr>
              <w:t>个过滤筒；</w:t>
            </w:r>
            <w:r>
              <w:rPr>
                <w:rFonts w:hint="eastAsia" w:cs="Times New Roman"/>
                <w:color w:val="auto"/>
                <w:sz w:val="21"/>
                <w:szCs w:val="21"/>
              </w:rPr>
              <w:t>1</w:t>
            </w:r>
            <w:r>
              <w:rPr>
                <w:rFonts w:hint="eastAsia" w:ascii="宋体" w:hAnsi="宋体" w:cs="Times New Roman"/>
                <w:color w:val="auto"/>
                <w:sz w:val="21"/>
                <w:szCs w:val="21"/>
              </w:rPr>
              <w:t>台风机风量</w:t>
            </w:r>
            <w:r>
              <w:rPr>
                <w:rFonts w:hint="eastAsia" w:cs="Times New Roman"/>
                <w:color w:val="auto"/>
                <w:sz w:val="21"/>
                <w:szCs w:val="21"/>
              </w:rPr>
              <w:t>20000m</w:t>
            </w:r>
            <w:r>
              <w:rPr>
                <w:rFonts w:hint="eastAsia" w:cs="Times New Roman"/>
                <w:color w:val="auto"/>
                <w:sz w:val="21"/>
                <w:szCs w:val="21"/>
                <w:vertAlign w:val="superscript"/>
              </w:rPr>
              <w:t>3</w:t>
            </w:r>
            <w:r>
              <w:rPr>
                <w:rFonts w:hint="eastAsia" w:cs="Times New Roman"/>
                <w:color w:val="auto"/>
                <w:sz w:val="21"/>
                <w:szCs w:val="21"/>
              </w:rPr>
              <w:t>/h</w:t>
            </w:r>
          </w:p>
        </w:tc>
        <w:tc>
          <w:tcPr>
            <w:tcW w:w="109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s="Times New Roman"/>
                <w:color w:val="auto"/>
                <w:sz w:val="21"/>
                <w:szCs w:val="21"/>
              </w:rPr>
              <w:t>1</w:t>
            </w:r>
            <w:r>
              <w:rPr>
                <w:rFonts w:hint="eastAsia" w:ascii="宋体" w:hAnsi="宋体" w:cs="Times New Roman"/>
                <w:color w:val="auto"/>
                <w:sz w:val="21"/>
                <w:szCs w:val="21"/>
              </w:rPr>
              <w:t>套</w:t>
            </w:r>
          </w:p>
        </w:tc>
        <w:tc>
          <w:tcPr>
            <w:tcW w:w="1148"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s="Times New Roman"/>
                <w:color w:val="auto"/>
                <w:sz w:val="21"/>
                <w:szCs w:val="21"/>
              </w:rPr>
              <w:t>1</w:t>
            </w:r>
            <w:r>
              <w:rPr>
                <w:rFonts w:hint="eastAsia" w:ascii="宋体" w:hAnsi="宋体" w:cs="Times New Roman"/>
                <w:color w:val="auto"/>
                <w:sz w:val="21"/>
                <w:szCs w:val="21"/>
              </w:rPr>
              <w:t>套</w:t>
            </w:r>
          </w:p>
        </w:tc>
        <w:tc>
          <w:tcPr>
            <w:tcW w:w="1071"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5" w:hRule="atLeast"/>
        </w:trPr>
        <w:tc>
          <w:tcPr>
            <w:tcW w:w="53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42</w:t>
            </w:r>
          </w:p>
        </w:tc>
        <w:tc>
          <w:tcPr>
            <w:tcW w:w="920" w:type="dxa"/>
            <w:gridSpan w:val="2"/>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624"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水喷淋</w:t>
            </w:r>
            <w:r>
              <w:rPr>
                <w:rFonts w:hint="eastAsia" w:cs="Times New Roman"/>
                <w:color w:val="auto"/>
                <w:sz w:val="21"/>
                <w:szCs w:val="21"/>
              </w:rPr>
              <w:t>+</w:t>
            </w:r>
            <w:r>
              <w:rPr>
                <w:rFonts w:hint="eastAsia" w:ascii="宋体" w:hAnsi="宋体" w:cs="Times New Roman"/>
                <w:color w:val="auto"/>
                <w:sz w:val="21"/>
                <w:szCs w:val="21"/>
              </w:rPr>
              <w:t>干式过滤</w:t>
            </w:r>
            <w:r>
              <w:rPr>
                <w:rFonts w:hint="eastAsia" w:cs="Times New Roman"/>
                <w:color w:val="auto"/>
                <w:sz w:val="21"/>
                <w:szCs w:val="21"/>
              </w:rPr>
              <w:t>+</w:t>
            </w:r>
            <w:r>
              <w:rPr>
                <w:rFonts w:hint="eastAsia" w:ascii="宋体" w:hAnsi="宋体" w:cs="Times New Roman"/>
                <w:color w:val="auto"/>
                <w:sz w:val="21"/>
                <w:szCs w:val="21"/>
              </w:rPr>
              <w:t>二级活性炭吸附”装置</w:t>
            </w:r>
          </w:p>
        </w:tc>
        <w:tc>
          <w:tcPr>
            <w:tcW w:w="212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风机风量为</w:t>
            </w:r>
            <w:r>
              <w:rPr>
                <w:rFonts w:hint="eastAsia" w:cs="Times New Roman"/>
                <w:color w:val="auto"/>
                <w:sz w:val="21"/>
                <w:szCs w:val="21"/>
              </w:rPr>
              <w:t>33000m</w:t>
            </w:r>
            <w:r>
              <w:rPr>
                <w:rFonts w:hint="eastAsia" w:cs="Times New Roman"/>
                <w:color w:val="auto"/>
                <w:sz w:val="21"/>
                <w:szCs w:val="21"/>
                <w:vertAlign w:val="superscript"/>
              </w:rPr>
              <w:t>3</w:t>
            </w:r>
            <w:r>
              <w:rPr>
                <w:rFonts w:hint="eastAsia" w:cs="Times New Roman"/>
                <w:color w:val="auto"/>
                <w:sz w:val="21"/>
                <w:szCs w:val="21"/>
              </w:rPr>
              <w:t>/h</w:t>
            </w:r>
          </w:p>
        </w:tc>
        <w:tc>
          <w:tcPr>
            <w:tcW w:w="109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1</w:t>
            </w:r>
            <w:r>
              <w:rPr>
                <w:rFonts w:hint="eastAsia" w:ascii="宋体" w:hAnsi="宋体" w:cs="Times New Roman"/>
                <w:color w:val="auto"/>
                <w:sz w:val="21"/>
                <w:szCs w:val="21"/>
              </w:rPr>
              <w:t>套</w:t>
            </w:r>
          </w:p>
        </w:tc>
        <w:tc>
          <w:tcPr>
            <w:tcW w:w="1148"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s="Times New Roman"/>
                <w:color w:val="auto"/>
                <w:sz w:val="21"/>
                <w:szCs w:val="21"/>
              </w:rPr>
              <w:t>1</w:t>
            </w:r>
            <w:r>
              <w:rPr>
                <w:rFonts w:hint="eastAsia" w:ascii="宋体" w:hAnsi="宋体" w:cs="Times New Roman"/>
                <w:color w:val="auto"/>
                <w:sz w:val="21"/>
                <w:szCs w:val="21"/>
              </w:rPr>
              <w:t>套</w:t>
            </w:r>
          </w:p>
        </w:tc>
        <w:tc>
          <w:tcPr>
            <w:tcW w:w="1071"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5" w:hRule="atLeast"/>
        </w:trPr>
        <w:tc>
          <w:tcPr>
            <w:tcW w:w="53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43</w:t>
            </w:r>
          </w:p>
        </w:tc>
        <w:tc>
          <w:tcPr>
            <w:tcW w:w="920" w:type="dxa"/>
            <w:gridSpan w:val="2"/>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624"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ascii="宋体" w:hAnsi="宋体" w:cs="Times New Roman"/>
                <w:color w:val="auto"/>
                <w:sz w:val="21"/>
                <w:szCs w:val="21"/>
              </w:rPr>
              <w:t>水喷淋</w:t>
            </w:r>
            <w:r>
              <w:rPr>
                <w:rFonts w:hint="eastAsia" w:cs="Times New Roman"/>
                <w:color w:val="auto"/>
                <w:sz w:val="21"/>
                <w:szCs w:val="21"/>
              </w:rPr>
              <w:t>+</w:t>
            </w:r>
            <w:r>
              <w:rPr>
                <w:rFonts w:hint="eastAsia" w:ascii="宋体" w:hAnsi="宋体" w:cs="Times New Roman"/>
                <w:color w:val="auto"/>
                <w:sz w:val="21"/>
                <w:szCs w:val="21"/>
              </w:rPr>
              <w:t>干式过滤</w:t>
            </w:r>
            <w:r>
              <w:rPr>
                <w:rFonts w:hint="eastAsia" w:cs="Times New Roman"/>
                <w:color w:val="auto"/>
                <w:sz w:val="21"/>
                <w:szCs w:val="21"/>
              </w:rPr>
              <w:t>+</w:t>
            </w:r>
            <w:r>
              <w:rPr>
                <w:rFonts w:hint="eastAsia" w:ascii="宋体" w:hAnsi="宋体" w:cs="Times New Roman"/>
                <w:color w:val="auto"/>
                <w:sz w:val="21"/>
                <w:szCs w:val="21"/>
              </w:rPr>
              <w:t>二级活性炭吸附”装置</w:t>
            </w:r>
          </w:p>
        </w:tc>
        <w:tc>
          <w:tcPr>
            <w:tcW w:w="212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ascii="宋体" w:hAnsi="宋体" w:cs="Times New Roman"/>
                <w:color w:val="auto"/>
                <w:sz w:val="21"/>
                <w:szCs w:val="21"/>
              </w:rPr>
              <w:t>风机风量为</w:t>
            </w:r>
            <w:r>
              <w:rPr>
                <w:rFonts w:hint="eastAsia" w:cs="Times New Roman"/>
                <w:color w:val="auto"/>
                <w:sz w:val="21"/>
                <w:szCs w:val="21"/>
              </w:rPr>
              <w:t>28000m</w:t>
            </w:r>
            <w:r>
              <w:rPr>
                <w:rFonts w:hint="eastAsia" w:cs="Times New Roman"/>
                <w:color w:val="auto"/>
                <w:sz w:val="21"/>
                <w:szCs w:val="21"/>
                <w:vertAlign w:val="superscript"/>
              </w:rPr>
              <w:t>3</w:t>
            </w:r>
            <w:r>
              <w:rPr>
                <w:rFonts w:hint="eastAsia" w:cs="Times New Roman"/>
                <w:color w:val="auto"/>
                <w:sz w:val="21"/>
                <w:szCs w:val="21"/>
              </w:rPr>
              <w:t>/h</w:t>
            </w:r>
          </w:p>
        </w:tc>
        <w:tc>
          <w:tcPr>
            <w:tcW w:w="109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s="Times New Roman"/>
                <w:color w:val="auto"/>
                <w:sz w:val="21"/>
                <w:szCs w:val="21"/>
              </w:rPr>
              <w:t>1</w:t>
            </w:r>
            <w:r>
              <w:rPr>
                <w:rFonts w:hint="eastAsia" w:ascii="宋体" w:hAnsi="宋体" w:cs="Times New Roman"/>
                <w:color w:val="auto"/>
                <w:sz w:val="21"/>
                <w:szCs w:val="21"/>
              </w:rPr>
              <w:t>套</w:t>
            </w:r>
          </w:p>
        </w:tc>
        <w:tc>
          <w:tcPr>
            <w:tcW w:w="1148"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s="Times New Roman"/>
                <w:color w:val="auto"/>
                <w:sz w:val="21"/>
                <w:szCs w:val="21"/>
              </w:rPr>
              <w:t>1</w:t>
            </w:r>
            <w:r>
              <w:rPr>
                <w:rFonts w:hint="eastAsia" w:ascii="宋体" w:hAnsi="宋体" w:cs="Times New Roman"/>
                <w:color w:val="auto"/>
                <w:sz w:val="21"/>
                <w:szCs w:val="21"/>
              </w:rPr>
              <w:t>套</w:t>
            </w:r>
          </w:p>
        </w:tc>
        <w:tc>
          <w:tcPr>
            <w:tcW w:w="1071"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5" w:hRule="atLeast"/>
        </w:trPr>
        <w:tc>
          <w:tcPr>
            <w:tcW w:w="53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44</w:t>
            </w:r>
          </w:p>
        </w:tc>
        <w:tc>
          <w:tcPr>
            <w:tcW w:w="920" w:type="dxa"/>
            <w:gridSpan w:val="2"/>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624"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移动式焊烟净化器</w:t>
            </w:r>
          </w:p>
        </w:tc>
        <w:tc>
          <w:tcPr>
            <w:tcW w:w="212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highlight w:val="yellow"/>
              </w:rPr>
            </w:pPr>
            <w:r>
              <w:rPr>
                <w:rFonts w:hint="eastAsia" w:ascii="宋体" w:hAnsi="宋体" w:cs="Times New Roman"/>
                <w:color w:val="auto"/>
                <w:sz w:val="21"/>
                <w:szCs w:val="21"/>
              </w:rPr>
              <w:t>每台配有</w:t>
            </w:r>
            <w:r>
              <w:rPr>
                <w:rFonts w:hint="eastAsia" w:cs="Times New Roman"/>
                <w:color w:val="auto"/>
                <w:sz w:val="21"/>
                <w:szCs w:val="21"/>
              </w:rPr>
              <w:t>2</w:t>
            </w:r>
            <w:r>
              <w:rPr>
                <w:rFonts w:hint="eastAsia" w:ascii="宋体" w:hAnsi="宋体" w:cs="Times New Roman"/>
                <w:color w:val="auto"/>
                <w:sz w:val="21"/>
                <w:szCs w:val="21"/>
              </w:rPr>
              <w:t>个移动式集气罩</w:t>
            </w:r>
          </w:p>
        </w:tc>
        <w:tc>
          <w:tcPr>
            <w:tcW w:w="109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2</w:t>
            </w:r>
            <w:r>
              <w:rPr>
                <w:rFonts w:hint="eastAsia" w:ascii="宋体" w:hAnsi="宋体" w:cs="Times New Roman"/>
                <w:color w:val="auto"/>
                <w:sz w:val="21"/>
                <w:szCs w:val="21"/>
              </w:rPr>
              <w:t>台</w:t>
            </w:r>
          </w:p>
        </w:tc>
        <w:tc>
          <w:tcPr>
            <w:tcW w:w="1148"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s="Times New Roman"/>
                <w:color w:val="auto"/>
                <w:sz w:val="21"/>
                <w:szCs w:val="21"/>
              </w:rPr>
              <w:t>2</w:t>
            </w:r>
            <w:r>
              <w:rPr>
                <w:rFonts w:hint="eastAsia" w:ascii="宋体" w:hAnsi="宋体" w:cs="Times New Roman"/>
                <w:color w:val="auto"/>
                <w:sz w:val="21"/>
                <w:szCs w:val="21"/>
              </w:rPr>
              <w:t>台</w:t>
            </w:r>
          </w:p>
        </w:tc>
        <w:tc>
          <w:tcPr>
            <w:tcW w:w="1071"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5" w:hRule="atLeast"/>
        </w:trPr>
        <w:tc>
          <w:tcPr>
            <w:tcW w:w="53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45</w:t>
            </w:r>
          </w:p>
        </w:tc>
        <w:tc>
          <w:tcPr>
            <w:tcW w:w="920" w:type="dxa"/>
            <w:gridSpan w:val="2"/>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624"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移动式简易布袋除尘器</w:t>
            </w:r>
          </w:p>
        </w:tc>
        <w:tc>
          <w:tcPr>
            <w:tcW w:w="212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p>
        </w:tc>
        <w:tc>
          <w:tcPr>
            <w:tcW w:w="109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3</w:t>
            </w:r>
            <w:r>
              <w:rPr>
                <w:rFonts w:hint="eastAsia" w:ascii="宋体" w:hAnsi="宋体" w:cs="Times New Roman"/>
                <w:color w:val="auto"/>
                <w:sz w:val="21"/>
                <w:szCs w:val="21"/>
              </w:rPr>
              <w:t>台</w:t>
            </w:r>
          </w:p>
        </w:tc>
        <w:tc>
          <w:tcPr>
            <w:tcW w:w="1148"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s="Times New Roman"/>
                <w:color w:val="auto"/>
                <w:sz w:val="21"/>
                <w:szCs w:val="21"/>
              </w:rPr>
              <w:t>3</w:t>
            </w:r>
            <w:r>
              <w:rPr>
                <w:rFonts w:hint="eastAsia" w:ascii="宋体" w:hAnsi="宋体" w:cs="Times New Roman"/>
                <w:color w:val="auto"/>
                <w:sz w:val="21"/>
                <w:szCs w:val="21"/>
              </w:rPr>
              <w:t>台</w:t>
            </w:r>
          </w:p>
        </w:tc>
        <w:tc>
          <w:tcPr>
            <w:tcW w:w="1071"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5" w:hRule="atLeast"/>
        </w:trPr>
        <w:tc>
          <w:tcPr>
            <w:tcW w:w="53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46</w:t>
            </w:r>
          </w:p>
        </w:tc>
        <w:tc>
          <w:tcPr>
            <w:tcW w:w="920" w:type="dxa"/>
            <w:gridSpan w:val="2"/>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624"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ascii="宋体" w:hAnsi="宋体" w:cs="Times New Roman"/>
                <w:color w:val="auto"/>
                <w:sz w:val="21"/>
                <w:szCs w:val="21"/>
              </w:rPr>
              <w:t>油烟净化器</w:t>
            </w:r>
          </w:p>
        </w:tc>
        <w:tc>
          <w:tcPr>
            <w:tcW w:w="212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highlight w:val="yellow"/>
              </w:rPr>
            </w:pPr>
            <w:r>
              <w:rPr>
                <w:rFonts w:hint="eastAsia" w:ascii="宋体" w:hAnsi="宋体" w:cs="Times New Roman"/>
                <w:color w:val="auto"/>
                <w:sz w:val="21"/>
                <w:szCs w:val="21"/>
              </w:rPr>
              <w:t>风机风量</w:t>
            </w:r>
            <w:r>
              <w:rPr>
                <w:rFonts w:hint="eastAsia" w:cs="Times New Roman"/>
                <w:color w:val="auto"/>
                <w:sz w:val="21"/>
                <w:szCs w:val="21"/>
              </w:rPr>
              <w:t>3000m</w:t>
            </w:r>
            <w:r>
              <w:rPr>
                <w:rFonts w:hint="eastAsia" w:cs="Times New Roman"/>
                <w:color w:val="auto"/>
                <w:sz w:val="21"/>
                <w:szCs w:val="21"/>
                <w:vertAlign w:val="superscript"/>
              </w:rPr>
              <w:t>3</w:t>
            </w:r>
            <w:r>
              <w:rPr>
                <w:rFonts w:hint="eastAsia" w:cs="Times New Roman"/>
                <w:color w:val="auto"/>
                <w:sz w:val="21"/>
                <w:szCs w:val="21"/>
              </w:rPr>
              <w:t>/h</w:t>
            </w:r>
          </w:p>
        </w:tc>
        <w:tc>
          <w:tcPr>
            <w:tcW w:w="1095"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hint="eastAsia" w:cs="Times New Roman"/>
                <w:color w:val="auto"/>
                <w:sz w:val="21"/>
                <w:szCs w:val="21"/>
              </w:rPr>
              <w:t>1</w:t>
            </w:r>
            <w:r>
              <w:rPr>
                <w:rFonts w:hint="eastAsia" w:ascii="宋体" w:hAnsi="宋体" w:cs="Times New Roman"/>
                <w:color w:val="auto"/>
                <w:sz w:val="21"/>
                <w:szCs w:val="21"/>
              </w:rPr>
              <w:t>台</w:t>
            </w:r>
          </w:p>
        </w:tc>
        <w:tc>
          <w:tcPr>
            <w:tcW w:w="1148"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s="Times New Roman"/>
                <w:color w:val="auto"/>
                <w:sz w:val="21"/>
                <w:szCs w:val="21"/>
              </w:rPr>
              <w:t>1</w:t>
            </w:r>
            <w:r>
              <w:rPr>
                <w:rFonts w:hint="eastAsia" w:ascii="宋体" w:hAnsi="宋体" w:cs="Times New Roman"/>
                <w:color w:val="auto"/>
                <w:sz w:val="21"/>
                <w:szCs w:val="21"/>
              </w:rPr>
              <w:t>台</w:t>
            </w:r>
          </w:p>
        </w:tc>
        <w:tc>
          <w:tcPr>
            <w:tcW w:w="1071"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hint="eastAsia" w:ascii="宋体" w:hAnsi="宋体" w:cs="Times New Roman"/>
                <w:color w:val="auto"/>
                <w:sz w:val="21"/>
                <w:szCs w:val="21"/>
              </w:rPr>
            </w:pPr>
            <w:r>
              <w:rPr>
                <w:rFonts w:hint="eastAsia"/>
                <w:color w:val="auto"/>
                <w:sz w:val="21"/>
                <w:szCs w:val="21"/>
              </w:rPr>
              <w:t>一致</w:t>
            </w:r>
          </w:p>
        </w:tc>
      </w:tr>
      <w:bookmarkEnd w:id="18"/>
    </w:tbl>
    <w:p>
      <w:pPr>
        <w:pStyle w:val="37"/>
        <w:rPr>
          <w:color w:val="auto"/>
          <w:highlight w:val="yellow"/>
        </w:rPr>
      </w:pPr>
    </w:p>
    <w:p>
      <w:pPr>
        <w:pStyle w:val="3"/>
        <w:numPr>
          <w:ilvl w:val="1"/>
          <w:numId w:val="0"/>
        </w:numPr>
        <w:rPr>
          <w:color w:val="auto"/>
        </w:rPr>
      </w:pPr>
      <w:bookmarkStart w:id="19" w:name="_Toc17131"/>
      <w:r>
        <w:rPr>
          <w:rFonts w:hint="eastAsia"/>
          <w:color w:val="auto"/>
        </w:rPr>
        <w:t>3.3原辅料及能源消耗情况</w:t>
      </w:r>
      <w:bookmarkEnd w:id="19"/>
    </w:p>
    <w:p>
      <w:pPr>
        <w:pStyle w:val="37"/>
        <w:snapToGrid w:val="0"/>
        <w:spacing w:line="360" w:lineRule="auto"/>
        <w:rPr>
          <w:color w:val="auto"/>
        </w:rPr>
      </w:pPr>
      <w:r>
        <w:rPr>
          <w:rFonts w:hint="eastAsia"/>
          <w:color w:val="auto"/>
        </w:rPr>
        <w:t>表 3.3-1</w:t>
      </w:r>
      <w:r>
        <w:rPr>
          <w:color w:val="auto"/>
        </w:rPr>
        <w:t xml:space="preserve"> </w:t>
      </w:r>
      <w:r>
        <w:rPr>
          <w:rFonts w:hint="eastAsia"/>
          <w:color w:val="auto"/>
        </w:rPr>
        <w:t>主要原辅料及能耗一览表</w:t>
      </w:r>
    </w:p>
    <w:tbl>
      <w:tblPr>
        <w:tblStyle w:val="24"/>
        <w:tblW w:w="8336"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
      <w:tblGrid>
        <w:gridCol w:w="580"/>
        <w:gridCol w:w="2229"/>
        <w:gridCol w:w="2312"/>
        <w:gridCol w:w="2096"/>
        <w:gridCol w:w="111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Ex>
        <w:trPr>
          <w:trHeight w:val="236" w:hRule="atLeast"/>
          <w:jc w:val="center"/>
        </w:trPr>
        <w:tc>
          <w:tcPr>
            <w:tcW w:w="580" w:type="dxa"/>
            <w:tcBorders>
              <w:top w:val="single" w:color="000000" w:sz="4" w:space="0"/>
              <w:left w:val="single" w:color="000000" w:sz="4" w:space="0"/>
              <w:bottom w:val="single" w:color="000000" w:sz="4" w:space="0"/>
              <w:right w:val="single" w:color="000000" w:sz="4" w:space="0"/>
            </w:tcBorders>
            <w:vAlign w:val="center"/>
          </w:tcPr>
          <w:p>
            <w:pPr>
              <w:autoSpaceDE w:val="0"/>
              <w:autoSpaceDN w:val="0"/>
              <w:snapToGrid w:val="0"/>
              <w:spacing w:line="240" w:lineRule="auto"/>
              <w:ind w:firstLine="0" w:firstLineChars="0"/>
              <w:jc w:val="center"/>
              <w:rPr>
                <w:rFonts w:cs="Times New Roman"/>
                <w:b/>
                <w:bCs/>
                <w:color w:val="auto"/>
                <w:sz w:val="21"/>
                <w:szCs w:val="21"/>
              </w:rPr>
            </w:pPr>
            <w:r>
              <w:rPr>
                <w:rFonts w:cs="Times New Roman"/>
                <w:b/>
                <w:bCs/>
                <w:color w:val="auto"/>
                <w:sz w:val="21"/>
                <w:szCs w:val="21"/>
              </w:rPr>
              <w:t>序号</w:t>
            </w:r>
          </w:p>
        </w:tc>
        <w:tc>
          <w:tcPr>
            <w:tcW w:w="2229" w:type="dxa"/>
            <w:tcBorders>
              <w:top w:val="single" w:color="000000" w:sz="4" w:space="0"/>
              <w:left w:val="single" w:color="000000" w:sz="4" w:space="0"/>
              <w:bottom w:val="single" w:color="000000" w:sz="4" w:space="0"/>
              <w:right w:val="single" w:color="000000" w:sz="4" w:space="0"/>
            </w:tcBorders>
            <w:vAlign w:val="center"/>
          </w:tcPr>
          <w:p>
            <w:pPr>
              <w:autoSpaceDE w:val="0"/>
              <w:autoSpaceDN w:val="0"/>
              <w:snapToGrid w:val="0"/>
              <w:spacing w:line="240" w:lineRule="auto"/>
              <w:ind w:firstLine="0" w:firstLineChars="0"/>
              <w:jc w:val="center"/>
              <w:rPr>
                <w:rFonts w:cs="Times New Roman"/>
                <w:b/>
                <w:bCs/>
                <w:color w:val="auto"/>
                <w:sz w:val="21"/>
                <w:szCs w:val="21"/>
              </w:rPr>
            </w:pPr>
            <w:r>
              <w:rPr>
                <w:rFonts w:cs="Times New Roman"/>
                <w:b/>
                <w:bCs/>
                <w:color w:val="auto"/>
                <w:sz w:val="21"/>
                <w:szCs w:val="21"/>
              </w:rPr>
              <w:t>名称</w:t>
            </w:r>
          </w:p>
        </w:tc>
        <w:tc>
          <w:tcPr>
            <w:tcW w:w="2312" w:type="dxa"/>
            <w:tcBorders>
              <w:top w:val="single" w:color="000000" w:sz="4" w:space="0"/>
              <w:left w:val="single" w:color="000000" w:sz="4" w:space="0"/>
              <w:bottom w:val="single" w:color="000000" w:sz="4" w:space="0"/>
              <w:right w:val="single" w:color="000000" w:sz="4" w:space="0"/>
            </w:tcBorders>
            <w:vAlign w:val="center"/>
          </w:tcPr>
          <w:p>
            <w:pPr>
              <w:autoSpaceDE w:val="0"/>
              <w:autoSpaceDN w:val="0"/>
              <w:snapToGrid w:val="0"/>
              <w:spacing w:line="240" w:lineRule="auto"/>
              <w:ind w:firstLine="0" w:firstLineChars="0"/>
              <w:jc w:val="center"/>
              <w:rPr>
                <w:rFonts w:cs="Times New Roman"/>
                <w:b/>
                <w:bCs/>
                <w:color w:val="auto"/>
                <w:sz w:val="21"/>
                <w:szCs w:val="21"/>
              </w:rPr>
            </w:pPr>
            <w:r>
              <w:rPr>
                <w:rFonts w:cs="Times New Roman"/>
                <w:b/>
                <w:bCs/>
                <w:color w:val="auto"/>
                <w:sz w:val="21"/>
                <w:szCs w:val="21"/>
              </w:rPr>
              <w:t>环评用量t/a</w:t>
            </w:r>
          </w:p>
        </w:tc>
        <w:tc>
          <w:tcPr>
            <w:tcW w:w="2096" w:type="dxa"/>
            <w:tcBorders>
              <w:top w:val="single" w:color="000000" w:sz="4" w:space="0"/>
              <w:left w:val="single" w:color="000000" w:sz="4" w:space="0"/>
              <w:bottom w:val="single" w:color="000000" w:sz="4" w:space="0"/>
              <w:right w:val="single" w:color="000000" w:sz="4" w:space="0"/>
            </w:tcBorders>
            <w:vAlign w:val="center"/>
          </w:tcPr>
          <w:p>
            <w:pPr>
              <w:autoSpaceDE w:val="0"/>
              <w:autoSpaceDN w:val="0"/>
              <w:snapToGrid w:val="0"/>
              <w:spacing w:line="240" w:lineRule="auto"/>
              <w:ind w:firstLine="0" w:firstLineChars="0"/>
              <w:jc w:val="center"/>
              <w:rPr>
                <w:rFonts w:cs="Times New Roman"/>
                <w:b/>
                <w:bCs/>
                <w:color w:val="auto"/>
                <w:sz w:val="21"/>
                <w:szCs w:val="21"/>
              </w:rPr>
            </w:pPr>
            <w:r>
              <w:rPr>
                <w:rFonts w:cs="Times New Roman"/>
                <w:b/>
                <w:bCs/>
                <w:color w:val="auto"/>
                <w:sz w:val="21"/>
                <w:szCs w:val="21"/>
              </w:rPr>
              <w:t>实际用量t/a</w:t>
            </w:r>
          </w:p>
        </w:tc>
        <w:tc>
          <w:tcPr>
            <w:tcW w:w="1119" w:type="dxa"/>
            <w:tcBorders>
              <w:top w:val="single" w:color="000000" w:sz="4" w:space="0"/>
              <w:left w:val="single" w:color="000000" w:sz="4" w:space="0"/>
              <w:bottom w:val="single" w:color="000000" w:sz="4" w:space="0"/>
              <w:right w:val="single" w:color="000000" w:sz="4" w:space="0"/>
            </w:tcBorders>
            <w:vAlign w:val="center"/>
          </w:tcPr>
          <w:p>
            <w:pPr>
              <w:autoSpaceDE w:val="0"/>
              <w:autoSpaceDN w:val="0"/>
              <w:snapToGrid w:val="0"/>
              <w:spacing w:line="240" w:lineRule="auto"/>
              <w:ind w:firstLine="0" w:firstLineChars="0"/>
              <w:jc w:val="center"/>
              <w:rPr>
                <w:rFonts w:cs="Times New Roman"/>
                <w:b/>
                <w:bCs/>
                <w:color w:val="auto"/>
                <w:sz w:val="21"/>
                <w:szCs w:val="21"/>
              </w:rPr>
            </w:pPr>
            <w:r>
              <w:rPr>
                <w:rFonts w:cs="Times New Roman"/>
                <w:b/>
                <w:bCs/>
                <w:color w:val="auto"/>
                <w:sz w:val="21"/>
                <w:szCs w:val="21"/>
              </w:rPr>
              <w:t>变化情况</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Ex>
        <w:trPr>
          <w:trHeight w:val="340" w:hRule="atLeast"/>
          <w:jc w:val="center"/>
        </w:trPr>
        <w:tc>
          <w:tcPr>
            <w:tcW w:w="580"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1</w:t>
            </w:r>
          </w:p>
        </w:tc>
        <w:tc>
          <w:tcPr>
            <w:tcW w:w="222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不锈钢卷带</w:t>
            </w:r>
          </w:p>
        </w:tc>
        <w:tc>
          <w:tcPr>
            <w:tcW w:w="2312"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430</w:t>
            </w:r>
          </w:p>
        </w:tc>
        <w:tc>
          <w:tcPr>
            <w:tcW w:w="2096"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430</w:t>
            </w:r>
          </w:p>
        </w:tc>
        <w:tc>
          <w:tcPr>
            <w:tcW w:w="111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Ex>
        <w:trPr>
          <w:trHeight w:val="246" w:hRule="atLeast"/>
          <w:jc w:val="center"/>
        </w:trPr>
        <w:tc>
          <w:tcPr>
            <w:tcW w:w="580"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2</w:t>
            </w:r>
          </w:p>
        </w:tc>
        <w:tc>
          <w:tcPr>
            <w:tcW w:w="222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铝材</w:t>
            </w:r>
          </w:p>
        </w:tc>
        <w:tc>
          <w:tcPr>
            <w:tcW w:w="2312"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150</w:t>
            </w:r>
          </w:p>
        </w:tc>
        <w:tc>
          <w:tcPr>
            <w:tcW w:w="2096"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150</w:t>
            </w:r>
          </w:p>
        </w:tc>
        <w:tc>
          <w:tcPr>
            <w:tcW w:w="111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Ex>
        <w:trPr>
          <w:trHeight w:val="397" w:hRule="atLeast"/>
          <w:jc w:val="center"/>
        </w:trPr>
        <w:tc>
          <w:tcPr>
            <w:tcW w:w="580"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3</w:t>
            </w:r>
          </w:p>
        </w:tc>
        <w:tc>
          <w:tcPr>
            <w:tcW w:w="222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合页</w:t>
            </w:r>
          </w:p>
        </w:tc>
        <w:tc>
          <w:tcPr>
            <w:tcW w:w="2312"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23400</w:t>
            </w:r>
          </w:p>
        </w:tc>
        <w:tc>
          <w:tcPr>
            <w:tcW w:w="2096"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23400</w:t>
            </w:r>
          </w:p>
        </w:tc>
        <w:tc>
          <w:tcPr>
            <w:tcW w:w="111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Ex>
        <w:trPr>
          <w:trHeight w:val="259" w:hRule="atLeast"/>
          <w:jc w:val="center"/>
        </w:trPr>
        <w:tc>
          <w:tcPr>
            <w:tcW w:w="580"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4</w:t>
            </w:r>
          </w:p>
        </w:tc>
        <w:tc>
          <w:tcPr>
            <w:tcW w:w="222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铝扣条</w:t>
            </w:r>
          </w:p>
        </w:tc>
        <w:tc>
          <w:tcPr>
            <w:tcW w:w="2312"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540</w:t>
            </w:r>
          </w:p>
        </w:tc>
        <w:tc>
          <w:tcPr>
            <w:tcW w:w="2096"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540</w:t>
            </w:r>
          </w:p>
        </w:tc>
        <w:tc>
          <w:tcPr>
            <w:tcW w:w="111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Ex>
        <w:trPr>
          <w:trHeight w:val="335" w:hRule="atLeast"/>
          <w:jc w:val="center"/>
        </w:trPr>
        <w:tc>
          <w:tcPr>
            <w:tcW w:w="580"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5</w:t>
            </w:r>
          </w:p>
        </w:tc>
        <w:tc>
          <w:tcPr>
            <w:tcW w:w="222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不锈钢锁</w:t>
            </w:r>
          </w:p>
        </w:tc>
        <w:tc>
          <w:tcPr>
            <w:tcW w:w="2312"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3000</w:t>
            </w:r>
          </w:p>
        </w:tc>
        <w:tc>
          <w:tcPr>
            <w:tcW w:w="2096"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3000</w:t>
            </w:r>
          </w:p>
        </w:tc>
        <w:tc>
          <w:tcPr>
            <w:tcW w:w="111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Ex>
        <w:trPr>
          <w:trHeight w:val="255" w:hRule="atLeast"/>
          <w:jc w:val="center"/>
        </w:trPr>
        <w:tc>
          <w:tcPr>
            <w:tcW w:w="580"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6</w:t>
            </w:r>
          </w:p>
        </w:tc>
        <w:tc>
          <w:tcPr>
            <w:tcW w:w="222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不锈钢拉手</w:t>
            </w:r>
          </w:p>
        </w:tc>
        <w:tc>
          <w:tcPr>
            <w:tcW w:w="2312"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4715</w:t>
            </w:r>
          </w:p>
        </w:tc>
        <w:tc>
          <w:tcPr>
            <w:tcW w:w="2096"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4715</w:t>
            </w:r>
          </w:p>
        </w:tc>
        <w:tc>
          <w:tcPr>
            <w:tcW w:w="111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Ex>
        <w:trPr>
          <w:trHeight w:val="317" w:hRule="atLeast"/>
          <w:jc w:val="center"/>
        </w:trPr>
        <w:tc>
          <w:tcPr>
            <w:tcW w:w="580"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7</w:t>
            </w:r>
          </w:p>
        </w:tc>
        <w:tc>
          <w:tcPr>
            <w:tcW w:w="222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不锈钢插销</w:t>
            </w:r>
          </w:p>
        </w:tc>
        <w:tc>
          <w:tcPr>
            <w:tcW w:w="2312"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5830</w:t>
            </w:r>
          </w:p>
        </w:tc>
        <w:tc>
          <w:tcPr>
            <w:tcW w:w="2096"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5830</w:t>
            </w:r>
          </w:p>
        </w:tc>
        <w:tc>
          <w:tcPr>
            <w:tcW w:w="111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Ex>
        <w:trPr>
          <w:trHeight w:val="236" w:hRule="atLeast"/>
          <w:jc w:val="center"/>
        </w:trPr>
        <w:tc>
          <w:tcPr>
            <w:tcW w:w="580"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8</w:t>
            </w:r>
          </w:p>
        </w:tc>
        <w:tc>
          <w:tcPr>
            <w:tcW w:w="222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蜂窝板</w:t>
            </w:r>
          </w:p>
        </w:tc>
        <w:tc>
          <w:tcPr>
            <w:tcW w:w="2312"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2700</w:t>
            </w:r>
          </w:p>
        </w:tc>
        <w:tc>
          <w:tcPr>
            <w:tcW w:w="2096"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2700</w:t>
            </w:r>
          </w:p>
        </w:tc>
        <w:tc>
          <w:tcPr>
            <w:tcW w:w="111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Ex>
        <w:trPr>
          <w:trHeight w:val="312" w:hRule="atLeast"/>
          <w:jc w:val="center"/>
        </w:trPr>
        <w:tc>
          <w:tcPr>
            <w:tcW w:w="580"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9</w:t>
            </w:r>
          </w:p>
        </w:tc>
        <w:tc>
          <w:tcPr>
            <w:tcW w:w="222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蜂窝纸</w:t>
            </w:r>
          </w:p>
        </w:tc>
        <w:tc>
          <w:tcPr>
            <w:tcW w:w="2312"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4500</w:t>
            </w:r>
          </w:p>
        </w:tc>
        <w:tc>
          <w:tcPr>
            <w:tcW w:w="2096"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4500</w:t>
            </w:r>
          </w:p>
        </w:tc>
        <w:tc>
          <w:tcPr>
            <w:tcW w:w="111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Ex>
        <w:trPr>
          <w:trHeight w:val="246" w:hRule="atLeast"/>
          <w:jc w:val="center"/>
        </w:trPr>
        <w:tc>
          <w:tcPr>
            <w:tcW w:w="580"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10</w:t>
            </w:r>
          </w:p>
        </w:tc>
        <w:tc>
          <w:tcPr>
            <w:tcW w:w="222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压花件</w:t>
            </w:r>
          </w:p>
        </w:tc>
        <w:tc>
          <w:tcPr>
            <w:tcW w:w="2312"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3250</w:t>
            </w:r>
          </w:p>
        </w:tc>
        <w:tc>
          <w:tcPr>
            <w:tcW w:w="2096"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3250</w:t>
            </w:r>
          </w:p>
        </w:tc>
        <w:tc>
          <w:tcPr>
            <w:tcW w:w="111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Ex>
        <w:trPr>
          <w:trHeight w:val="321" w:hRule="atLeast"/>
          <w:jc w:val="center"/>
        </w:trPr>
        <w:tc>
          <w:tcPr>
            <w:tcW w:w="580"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11</w:t>
            </w:r>
          </w:p>
        </w:tc>
        <w:tc>
          <w:tcPr>
            <w:tcW w:w="222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pacing w:val="5"/>
                <w:sz w:val="21"/>
                <w:szCs w:val="21"/>
              </w:rPr>
              <w:t>氩气</w:t>
            </w:r>
          </w:p>
        </w:tc>
        <w:tc>
          <w:tcPr>
            <w:tcW w:w="2312"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14.4</w:t>
            </w:r>
          </w:p>
        </w:tc>
        <w:tc>
          <w:tcPr>
            <w:tcW w:w="2096"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14.4</w:t>
            </w:r>
          </w:p>
        </w:tc>
        <w:tc>
          <w:tcPr>
            <w:tcW w:w="111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Ex>
        <w:trPr>
          <w:trHeight w:val="90" w:hRule="atLeast"/>
          <w:jc w:val="center"/>
        </w:trPr>
        <w:tc>
          <w:tcPr>
            <w:tcW w:w="580"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12</w:t>
            </w:r>
          </w:p>
        </w:tc>
        <w:tc>
          <w:tcPr>
            <w:tcW w:w="222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pacing w:val="4"/>
                <w:sz w:val="21"/>
                <w:szCs w:val="21"/>
              </w:rPr>
              <w:t>焊丝</w:t>
            </w:r>
          </w:p>
        </w:tc>
        <w:tc>
          <w:tcPr>
            <w:tcW w:w="2312"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18</w:t>
            </w:r>
          </w:p>
        </w:tc>
        <w:tc>
          <w:tcPr>
            <w:tcW w:w="2096"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18</w:t>
            </w:r>
          </w:p>
        </w:tc>
        <w:tc>
          <w:tcPr>
            <w:tcW w:w="111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Ex>
        <w:trPr>
          <w:trHeight w:val="304" w:hRule="atLeast"/>
          <w:jc w:val="center"/>
        </w:trPr>
        <w:tc>
          <w:tcPr>
            <w:tcW w:w="580"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13</w:t>
            </w:r>
          </w:p>
        </w:tc>
        <w:tc>
          <w:tcPr>
            <w:tcW w:w="222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pacing w:val="4"/>
                <w:sz w:val="21"/>
                <w:szCs w:val="21"/>
              </w:rPr>
              <w:t>清抹布</w:t>
            </w:r>
          </w:p>
        </w:tc>
        <w:tc>
          <w:tcPr>
            <w:tcW w:w="2312"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0.018</w:t>
            </w:r>
          </w:p>
        </w:tc>
        <w:tc>
          <w:tcPr>
            <w:tcW w:w="2096"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0.018</w:t>
            </w:r>
          </w:p>
        </w:tc>
        <w:tc>
          <w:tcPr>
            <w:tcW w:w="111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Ex>
        <w:trPr>
          <w:trHeight w:val="252" w:hRule="atLeast"/>
          <w:jc w:val="center"/>
        </w:trPr>
        <w:tc>
          <w:tcPr>
            <w:tcW w:w="580"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14</w:t>
            </w:r>
          </w:p>
        </w:tc>
        <w:tc>
          <w:tcPr>
            <w:tcW w:w="222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pacing w:val="4"/>
                <w:sz w:val="21"/>
                <w:szCs w:val="21"/>
              </w:rPr>
              <w:t>拉丝布</w:t>
            </w:r>
          </w:p>
        </w:tc>
        <w:tc>
          <w:tcPr>
            <w:tcW w:w="2312"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0.009</w:t>
            </w:r>
          </w:p>
        </w:tc>
        <w:tc>
          <w:tcPr>
            <w:tcW w:w="2096"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0.009</w:t>
            </w:r>
          </w:p>
        </w:tc>
        <w:tc>
          <w:tcPr>
            <w:tcW w:w="111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Ex>
        <w:trPr>
          <w:trHeight w:val="314" w:hRule="atLeast"/>
          <w:jc w:val="center"/>
        </w:trPr>
        <w:tc>
          <w:tcPr>
            <w:tcW w:w="580"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15</w:t>
            </w:r>
          </w:p>
        </w:tc>
        <w:tc>
          <w:tcPr>
            <w:tcW w:w="222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粘合剂</w:t>
            </w:r>
          </w:p>
        </w:tc>
        <w:tc>
          <w:tcPr>
            <w:tcW w:w="2312"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3</w:t>
            </w:r>
          </w:p>
        </w:tc>
        <w:tc>
          <w:tcPr>
            <w:tcW w:w="2096"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3</w:t>
            </w:r>
          </w:p>
        </w:tc>
        <w:tc>
          <w:tcPr>
            <w:tcW w:w="111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Ex>
        <w:trPr>
          <w:trHeight w:val="247" w:hRule="atLeast"/>
          <w:jc w:val="center"/>
        </w:trPr>
        <w:tc>
          <w:tcPr>
            <w:tcW w:w="580"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16</w:t>
            </w:r>
          </w:p>
        </w:tc>
        <w:tc>
          <w:tcPr>
            <w:tcW w:w="222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pacing w:val="4"/>
                <w:sz w:val="21"/>
                <w:szCs w:val="21"/>
              </w:rPr>
              <w:t>玻璃胶</w:t>
            </w:r>
          </w:p>
        </w:tc>
        <w:tc>
          <w:tcPr>
            <w:tcW w:w="2312"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0.5</w:t>
            </w:r>
          </w:p>
        </w:tc>
        <w:tc>
          <w:tcPr>
            <w:tcW w:w="2096"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0.5</w:t>
            </w:r>
          </w:p>
        </w:tc>
        <w:tc>
          <w:tcPr>
            <w:tcW w:w="111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Ex>
        <w:trPr>
          <w:trHeight w:val="310" w:hRule="atLeast"/>
          <w:jc w:val="center"/>
        </w:trPr>
        <w:tc>
          <w:tcPr>
            <w:tcW w:w="580"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17</w:t>
            </w:r>
          </w:p>
        </w:tc>
        <w:tc>
          <w:tcPr>
            <w:tcW w:w="222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液压油</w:t>
            </w:r>
          </w:p>
        </w:tc>
        <w:tc>
          <w:tcPr>
            <w:tcW w:w="2312"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0.0816</w:t>
            </w:r>
          </w:p>
        </w:tc>
        <w:tc>
          <w:tcPr>
            <w:tcW w:w="2096"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0.0816</w:t>
            </w:r>
          </w:p>
        </w:tc>
        <w:tc>
          <w:tcPr>
            <w:tcW w:w="111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Ex>
        <w:trPr>
          <w:trHeight w:val="258" w:hRule="atLeast"/>
          <w:jc w:val="center"/>
        </w:trPr>
        <w:tc>
          <w:tcPr>
            <w:tcW w:w="580"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18</w:t>
            </w:r>
          </w:p>
        </w:tc>
        <w:tc>
          <w:tcPr>
            <w:tcW w:w="222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乳化油</w:t>
            </w:r>
          </w:p>
        </w:tc>
        <w:tc>
          <w:tcPr>
            <w:tcW w:w="2312"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0.05</w:t>
            </w:r>
          </w:p>
        </w:tc>
        <w:tc>
          <w:tcPr>
            <w:tcW w:w="2096"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0.05</w:t>
            </w:r>
          </w:p>
        </w:tc>
        <w:tc>
          <w:tcPr>
            <w:tcW w:w="111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Ex>
        <w:trPr>
          <w:trHeight w:val="178" w:hRule="atLeast"/>
          <w:jc w:val="center"/>
        </w:trPr>
        <w:tc>
          <w:tcPr>
            <w:tcW w:w="580"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19</w:t>
            </w:r>
          </w:p>
        </w:tc>
        <w:tc>
          <w:tcPr>
            <w:tcW w:w="222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清洗剂</w:t>
            </w:r>
          </w:p>
        </w:tc>
        <w:tc>
          <w:tcPr>
            <w:tcW w:w="2312"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0.75</w:t>
            </w:r>
          </w:p>
        </w:tc>
        <w:tc>
          <w:tcPr>
            <w:tcW w:w="2096"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0.75</w:t>
            </w:r>
          </w:p>
        </w:tc>
        <w:tc>
          <w:tcPr>
            <w:tcW w:w="111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Ex>
        <w:trPr>
          <w:trHeight w:val="254" w:hRule="atLeast"/>
          <w:jc w:val="center"/>
        </w:trPr>
        <w:tc>
          <w:tcPr>
            <w:tcW w:w="580"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20</w:t>
            </w:r>
          </w:p>
        </w:tc>
        <w:tc>
          <w:tcPr>
            <w:tcW w:w="222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粉末涂料</w:t>
            </w:r>
          </w:p>
        </w:tc>
        <w:tc>
          <w:tcPr>
            <w:tcW w:w="2312"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5.2</w:t>
            </w:r>
          </w:p>
        </w:tc>
        <w:tc>
          <w:tcPr>
            <w:tcW w:w="2096"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5.2</w:t>
            </w:r>
          </w:p>
        </w:tc>
        <w:tc>
          <w:tcPr>
            <w:tcW w:w="111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Ex>
        <w:trPr>
          <w:trHeight w:val="330" w:hRule="atLeast"/>
          <w:jc w:val="center"/>
        </w:trPr>
        <w:tc>
          <w:tcPr>
            <w:tcW w:w="580"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21</w:t>
            </w:r>
          </w:p>
        </w:tc>
        <w:tc>
          <w:tcPr>
            <w:tcW w:w="222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青铜油漆</w:t>
            </w:r>
          </w:p>
        </w:tc>
        <w:tc>
          <w:tcPr>
            <w:tcW w:w="2312"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 xml:space="preserve">0.135 </w:t>
            </w:r>
          </w:p>
        </w:tc>
        <w:tc>
          <w:tcPr>
            <w:tcW w:w="2096"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 xml:space="preserve">0.135 </w:t>
            </w:r>
          </w:p>
        </w:tc>
        <w:tc>
          <w:tcPr>
            <w:tcW w:w="111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Ex>
        <w:trPr>
          <w:trHeight w:val="250" w:hRule="atLeast"/>
          <w:jc w:val="center"/>
        </w:trPr>
        <w:tc>
          <w:tcPr>
            <w:tcW w:w="580"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22</w:t>
            </w:r>
          </w:p>
        </w:tc>
        <w:tc>
          <w:tcPr>
            <w:tcW w:w="222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青铜漆稀释剂</w:t>
            </w:r>
          </w:p>
        </w:tc>
        <w:tc>
          <w:tcPr>
            <w:tcW w:w="2312"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 xml:space="preserve">0.045 </w:t>
            </w:r>
          </w:p>
        </w:tc>
        <w:tc>
          <w:tcPr>
            <w:tcW w:w="2096"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 xml:space="preserve">0.045 </w:t>
            </w:r>
          </w:p>
        </w:tc>
        <w:tc>
          <w:tcPr>
            <w:tcW w:w="111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Ex>
        <w:trPr>
          <w:trHeight w:val="312" w:hRule="atLeast"/>
          <w:jc w:val="center"/>
        </w:trPr>
        <w:tc>
          <w:tcPr>
            <w:tcW w:w="580"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23</w:t>
            </w:r>
          </w:p>
        </w:tc>
        <w:tc>
          <w:tcPr>
            <w:tcW w:w="222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拉丝漆</w:t>
            </w:r>
          </w:p>
        </w:tc>
        <w:tc>
          <w:tcPr>
            <w:tcW w:w="2312"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 xml:space="preserve">1.8 </w:t>
            </w:r>
          </w:p>
        </w:tc>
        <w:tc>
          <w:tcPr>
            <w:tcW w:w="2096"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 xml:space="preserve">1.8 </w:t>
            </w:r>
          </w:p>
        </w:tc>
        <w:tc>
          <w:tcPr>
            <w:tcW w:w="111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Ex>
        <w:trPr>
          <w:trHeight w:val="245" w:hRule="atLeast"/>
          <w:jc w:val="center"/>
        </w:trPr>
        <w:tc>
          <w:tcPr>
            <w:tcW w:w="580"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24</w:t>
            </w:r>
          </w:p>
        </w:tc>
        <w:tc>
          <w:tcPr>
            <w:tcW w:w="222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拉丝漆稀释剂</w:t>
            </w:r>
          </w:p>
        </w:tc>
        <w:tc>
          <w:tcPr>
            <w:tcW w:w="2312"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 xml:space="preserve">0.6 </w:t>
            </w:r>
          </w:p>
        </w:tc>
        <w:tc>
          <w:tcPr>
            <w:tcW w:w="2096"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 xml:space="preserve">0.6 </w:t>
            </w:r>
          </w:p>
        </w:tc>
        <w:tc>
          <w:tcPr>
            <w:tcW w:w="111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Ex>
        <w:trPr>
          <w:trHeight w:val="322" w:hRule="atLeast"/>
          <w:jc w:val="center"/>
        </w:trPr>
        <w:tc>
          <w:tcPr>
            <w:tcW w:w="580"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25</w:t>
            </w:r>
          </w:p>
        </w:tc>
        <w:tc>
          <w:tcPr>
            <w:tcW w:w="222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亚克力光油</w:t>
            </w:r>
          </w:p>
        </w:tc>
        <w:tc>
          <w:tcPr>
            <w:tcW w:w="2312"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 xml:space="preserve">0.135 </w:t>
            </w:r>
          </w:p>
        </w:tc>
        <w:tc>
          <w:tcPr>
            <w:tcW w:w="2096"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 xml:space="preserve">0.135 </w:t>
            </w:r>
          </w:p>
        </w:tc>
        <w:tc>
          <w:tcPr>
            <w:tcW w:w="111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Ex>
        <w:trPr>
          <w:trHeight w:val="242" w:hRule="atLeast"/>
          <w:jc w:val="center"/>
        </w:trPr>
        <w:tc>
          <w:tcPr>
            <w:tcW w:w="580"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26</w:t>
            </w:r>
          </w:p>
        </w:tc>
        <w:tc>
          <w:tcPr>
            <w:tcW w:w="222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亚克力光油稀释剂</w:t>
            </w:r>
          </w:p>
        </w:tc>
        <w:tc>
          <w:tcPr>
            <w:tcW w:w="2312"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 xml:space="preserve">0.045 </w:t>
            </w:r>
          </w:p>
        </w:tc>
        <w:tc>
          <w:tcPr>
            <w:tcW w:w="2096"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 xml:space="preserve">0.045 </w:t>
            </w:r>
          </w:p>
        </w:tc>
        <w:tc>
          <w:tcPr>
            <w:tcW w:w="111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Ex>
        <w:trPr>
          <w:trHeight w:val="317" w:hRule="atLeast"/>
          <w:jc w:val="center"/>
        </w:trPr>
        <w:tc>
          <w:tcPr>
            <w:tcW w:w="580"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27</w:t>
            </w:r>
          </w:p>
        </w:tc>
        <w:tc>
          <w:tcPr>
            <w:tcW w:w="222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纯水性色漆</w:t>
            </w:r>
          </w:p>
        </w:tc>
        <w:tc>
          <w:tcPr>
            <w:tcW w:w="2312"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1.27</w:t>
            </w:r>
          </w:p>
        </w:tc>
        <w:tc>
          <w:tcPr>
            <w:tcW w:w="2096"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1.27</w:t>
            </w:r>
          </w:p>
        </w:tc>
        <w:tc>
          <w:tcPr>
            <w:tcW w:w="111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Ex>
        <w:trPr>
          <w:trHeight w:val="380" w:hRule="atLeast"/>
          <w:jc w:val="center"/>
        </w:trPr>
        <w:tc>
          <w:tcPr>
            <w:tcW w:w="580"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28</w:t>
            </w:r>
          </w:p>
        </w:tc>
        <w:tc>
          <w:tcPr>
            <w:tcW w:w="222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纯水性清漆</w:t>
            </w:r>
          </w:p>
        </w:tc>
        <w:tc>
          <w:tcPr>
            <w:tcW w:w="2312"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 xml:space="preserve">1.27 </w:t>
            </w:r>
          </w:p>
        </w:tc>
        <w:tc>
          <w:tcPr>
            <w:tcW w:w="2096"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 xml:space="preserve">1.27 </w:t>
            </w:r>
          </w:p>
        </w:tc>
        <w:tc>
          <w:tcPr>
            <w:tcW w:w="111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Ex>
        <w:trPr>
          <w:trHeight w:val="386" w:hRule="atLeast"/>
          <w:jc w:val="center"/>
        </w:trPr>
        <w:tc>
          <w:tcPr>
            <w:tcW w:w="580"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29</w:t>
            </w:r>
          </w:p>
        </w:tc>
        <w:tc>
          <w:tcPr>
            <w:tcW w:w="222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机油</w:t>
            </w:r>
          </w:p>
        </w:tc>
        <w:tc>
          <w:tcPr>
            <w:tcW w:w="2312"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0.025</w:t>
            </w:r>
          </w:p>
        </w:tc>
        <w:tc>
          <w:tcPr>
            <w:tcW w:w="2096"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0.025</w:t>
            </w:r>
          </w:p>
        </w:tc>
        <w:tc>
          <w:tcPr>
            <w:tcW w:w="111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Ex>
        <w:trPr>
          <w:trHeight w:val="249" w:hRule="atLeast"/>
          <w:jc w:val="center"/>
        </w:trPr>
        <w:tc>
          <w:tcPr>
            <w:tcW w:w="580"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30</w:t>
            </w:r>
          </w:p>
        </w:tc>
        <w:tc>
          <w:tcPr>
            <w:tcW w:w="222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水</w:t>
            </w:r>
          </w:p>
        </w:tc>
        <w:tc>
          <w:tcPr>
            <w:tcW w:w="2312"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1542.38</w:t>
            </w:r>
          </w:p>
        </w:tc>
        <w:tc>
          <w:tcPr>
            <w:tcW w:w="2096"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1542.38</w:t>
            </w:r>
          </w:p>
        </w:tc>
        <w:tc>
          <w:tcPr>
            <w:tcW w:w="111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Ex>
        <w:trPr>
          <w:trHeight w:val="364" w:hRule="atLeast"/>
          <w:jc w:val="center"/>
        </w:trPr>
        <w:tc>
          <w:tcPr>
            <w:tcW w:w="580"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31</w:t>
            </w:r>
          </w:p>
        </w:tc>
        <w:tc>
          <w:tcPr>
            <w:tcW w:w="222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电</w:t>
            </w:r>
          </w:p>
        </w:tc>
        <w:tc>
          <w:tcPr>
            <w:tcW w:w="2312"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23万</w:t>
            </w:r>
          </w:p>
        </w:tc>
        <w:tc>
          <w:tcPr>
            <w:tcW w:w="2096"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23万</w:t>
            </w:r>
          </w:p>
        </w:tc>
        <w:tc>
          <w:tcPr>
            <w:tcW w:w="111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15" w:type="dxa"/>
            <w:left w:w="15" w:type="dxa"/>
            <w:bottom w:w="15" w:type="dxa"/>
            <w:right w:w="15" w:type="dxa"/>
          </w:tblCellMar>
        </w:tblPrEx>
        <w:trPr>
          <w:trHeight w:val="397" w:hRule="atLeast"/>
          <w:jc w:val="center"/>
        </w:trPr>
        <w:tc>
          <w:tcPr>
            <w:tcW w:w="580"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32</w:t>
            </w:r>
          </w:p>
        </w:tc>
        <w:tc>
          <w:tcPr>
            <w:tcW w:w="222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液化石油气</w:t>
            </w:r>
          </w:p>
        </w:tc>
        <w:tc>
          <w:tcPr>
            <w:tcW w:w="2312"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27</w:t>
            </w:r>
          </w:p>
        </w:tc>
        <w:tc>
          <w:tcPr>
            <w:tcW w:w="2096"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27</w:t>
            </w:r>
          </w:p>
        </w:tc>
        <w:tc>
          <w:tcPr>
            <w:tcW w:w="1119" w:type="dxa"/>
            <w:tcBorders>
              <w:top w:val="single" w:color="000000" w:sz="4" w:space="0"/>
              <w:left w:val="single" w:color="000000" w:sz="4" w:space="0"/>
              <w:bottom w:val="single" w:color="000000" w:sz="4" w:space="0"/>
              <w:right w:val="single" w:color="000000"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一致</w:t>
            </w:r>
          </w:p>
        </w:tc>
      </w:tr>
    </w:tbl>
    <w:p>
      <w:pPr>
        <w:pStyle w:val="3"/>
        <w:numPr>
          <w:ilvl w:val="0"/>
          <w:numId w:val="0"/>
        </w:numPr>
        <w:ind w:left="113"/>
        <w:rPr>
          <w:color w:val="auto"/>
        </w:rPr>
        <w:sectPr>
          <w:pgSz w:w="11906" w:h="16838"/>
          <w:pgMar w:top="1440" w:right="1800" w:bottom="1440" w:left="1800" w:header="851" w:footer="992" w:gutter="0"/>
          <w:cols w:space="425" w:num="1"/>
          <w:docGrid w:type="lines" w:linePitch="312" w:charSpace="0"/>
        </w:sectPr>
      </w:pPr>
      <w:bookmarkStart w:id="20" w:name="_Ref102980776"/>
      <w:bookmarkStart w:id="21" w:name="_Hlk102742736"/>
    </w:p>
    <w:p>
      <w:pPr>
        <w:pStyle w:val="3"/>
        <w:numPr>
          <w:ilvl w:val="0"/>
          <w:numId w:val="0"/>
        </w:numPr>
        <w:ind w:left="113"/>
        <w:rPr>
          <w:color w:val="auto"/>
        </w:rPr>
      </w:pPr>
      <w:bookmarkStart w:id="22" w:name="_Toc13293"/>
      <w:r>
        <w:rPr>
          <w:rFonts w:hint="eastAsia"/>
          <w:color w:val="auto"/>
        </w:rPr>
        <w:t>3.4 产品方案</w:t>
      </w:r>
      <w:bookmarkEnd w:id="22"/>
    </w:p>
    <w:p>
      <w:pPr>
        <w:pStyle w:val="37"/>
        <w:snapToGrid w:val="0"/>
        <w:rPr>
          <w:color w:val="auto"/>
        </w:rPr>
      </w:pPr>
      <w:r>
        <w:rPr>
          <w:rFonts w:hint="eastAsia"/>
          <w:color w:val="auto"/>
        </w:rPr>
        <w:t>表3.4</w:t>
      </w:r>
      <w:r>
        <w:rPr>
          <w:color w:val="auto"/>
        </w:rPr>
        <w:noBreakHyphen/>
      </w:r>
      <w:r>
        <w:rPr>
          <w:color w:val="auto"/>
        </w:rPr>
        <w:fldChar w:fldCharType="begin"/>
      </w:r>
      <w:r>
        <w:rPr>
          <w:color w:val="auto"/>
        </w:rPr>
        <w:instrText xml:space="preserve"> </w:instrText>
      </w:r>
      <w:r>
        <w:rPr>
          <w:rFonts w:hint="eastAsia"/>
          <w:color w:val="auto"/>
        </w:rPr>
        <w:instrText xml:space="preserve">SEQ 表 \* ARABIC \s 2</w:instrText>
      </w:r>
      <w:r>
        <w:rPr>
          <w:color w:val="auto"/>
        </w:rPr>
        <w:instrText xml:space="preserve"> </w:instrText>
      </w:r>
      <w:r>
        <w:rPr>
          <w:color w:val="auto"/>
        </w:rPr>
        <w:fldChar w:fldCharType="separate"/>
      </w:r>
      <w:r>
        <w:rPr>
          <w:color w:val="auto"/>
        </w:rPr>
        <w:t>1</w:t>
      </w:r>
      <w:r>
        <w:rPr>
          <w:color w:val="auto"/>
        </w:rPr>
        <w:fldChar w:fldCharType="end"/>
      </w:r>
      <w:bookmarkEnd w:id="20"/>
      <w:r>
        <w:rPr>
          <w:color w:val="auto"/>
        </w:rPr>
        <w:t xml:space="preserve"> </w:t>
      </w:r>
      <w:r>
        <w:rPr>
          <w:rFonts w:hint="eastAsia"/>
          <w:color w:val="auto"/>
        </w:rPr>
        <w:t xml:space="preserve"> 项目产品方案一览表</w:t>
      </w:r>
    </w:p>
    <w:tbl>
      <w:tblPr>
        <w:tblStyle w:val="24"/>
        <w:tblW w:w="852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52"/>
        <w:gridCol w:w="669"/>
        <w:gridCol w:w="2562"/>
        <w:gridCol w:w="1678"/>
        <w:gridCol w:w="1678"/>
        <w:gridCol w:w="7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821" w:type="dxa"/>
            <w:gridSpan w:val="2"/>
            <w:tcBorders>
              <w:top w:val="single" w:color="auto" w:sz="4" w:space="0"/>
              <w:left w:val="single" w:color="auto" w:sz="4" w:space="0"/>
              <w:bottom w:val="single" w:color="auto" w:sz="4" w:space="0"/>
              <w:right w:val="single" w:color="auto" w:sz="4" w:space="0"/>
            </w:tcBorders>
            <w:vAlign w:val="center"/>
          </w:tcPr>
          <w:p>
            <w:pPr>
              <w:spacing w:line="240" w:lineRule="auto"/>
              <w:ind w:firstLine="482" w:firstLineChars="0"/>
              <w:jc w:val="center"/>
              <w:rPr>
                <w:rFonts w:cs="Times New Roman"/>
                <w:b/>
                <w:bCs/>
                <w:color w:val="auto"/>
                <w:sz w:val="21"/>
                <w:szCs w:val="21"/>
              </w:rPr>
            </w:pPr>
            <w:r>
              <w:rPr>
                <w:rFonts w:cs="Times New Roman"/>
                <w:b/>
                <w:bCs/>
                <w:color w:val="auto"/>
                <w:sz w:val="21"/>
                <w:szCs w:val="21"/>
              </w:rPr>
              <w:t>产品名称</w:t>
            </w:r>
          </w:p>
        </w:tc>
        <w:tc>
          <w:tcPr>
            <w:tcW w:w="2562"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b/>
                <w:bCs/>
                <w:color w:val="auto"/>
                <w:sz w:val="21"/>
                <w:szCs w:val="21"/>
              </w:rPr>
            </w:pPr>
            <w:r>
              <w:rPr>
                <w:rFonts w:cs="Times New Roman"/>
                <w:b/>
                <w:bCs/>
                <w:color w:val="auto"/>
                <w:sz w:val="21"/>
                <w:szCs w:val="21"/>
              </w:rPr>
              <w:t>产品规格</w:t>
            </w:r>
          </w:p>
        </w:tc>
        <w:tc>
          <w:tcPr>
            <w:tcW w:w="1678"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b/>
                <w:bCs/>
                <w:color w:val="auto"/>
                <w:sz w:val="21"/>
                <w:szCs w:val="21"/>
              </w:rPr>
            </w:pPr>
            <w:r>
              <w:rPr>
                <w:rFonts w:cs="Times New Roman"/>
                <w:b/>
                <w:bCs/>
                <w:color w:val="auto"/>
                <w:sz w:val="21"/>
                <w:szCs w:val="21"/>
              </w:rPr>
              <w:t>环评年生产能力（套）</w:t>
            </w:r>
          </w:p>
        </w:tc>
        <w:tc>
          <w:tcPr>
            <w:tcW w:w="1678" w:type="dxa"/>
            <w:tcBorders>
              <w:top w:val="single" w:color="auto" w:sz="4" w:space="0"/>
              <w:left w:val="single" w:color="auto" w:sz="4" w:space="0"/>
              <w:bottom w:val="single" w:color="auto" w:sz="4" w:space="0"/>
              <w:right w:val="single" w:color="auto" w:sz="4" w:space="0"/>
            </w:tcBorders>
          </w:tcPr>
          <w:p>
            <w:pPr>
              <w:spacing w:line="240" w:lineRule="auto"/>
              <w:ind w:firstLine="0" w:firstLineChars="0"/>
              <w:jc w:val="center"/>
              <w:rPr>
                <w:rFonts w:cs="Times New Roman"/>
                <w:b/>
                <w:bCs/>
                <w:color w:val="auto"/>
                <w:sz w:val="21"/>
                <w:szCs w:val="21"/>
              </w:rPr>
            </w:pPr>
            <w:r>
              <w:rPr>
                <w:rFonts w:cs="Times New Roman"/>
                <w:b/>
                <w:bCs/>
                <w:color w:val="auto"/>
                <w:sz w:val="21"/>
                <w:szCs w:val="21"/>
              </w:rPr>
              <w:t>实际年生产能力（套）</w:t>
            </w:r>
          </w:p>
        </w:tc>
        <w:tc>
          <w:tcPr>
            <w:tcW w:w="783" w:type="dxa"/>
            <w:tcBorders>
              <w:top w:val="single" w:color="auto" w:sz="4" w:space="0"/>
              <w:left w:val="single" w:color="auto" w:sz="4" w:space="0"/>
              <w:bottom w:val="single" w:color="auto" w:sz="4" w:space="0"/>
              <w:right w:val="single" w:color="auto" w:sz="4" w:space="0"/>
            </w:tcBorders>
          </w:tcPr>
          <w:p>
            <w:pPr>
              <w:spacing w:line="240" w:lineRule="auto"/>
              <w:ind w:firstLine="0" w:firstLineChars="0"/>
              <w:jc w:val="center"/>
              <w:rPr>
                <w:rFonts w:cs="Times New Roman"/>
                <w:b/>
                <w:bCs/>
                <w:color w:val="auto"/>
                <w:sz w:val="21"/>
                <w:szCs w:val="21"/>
              </w:rPr>
            </w:pPr>
            <w:r>
              <w:rPr>
                <w:rFonts w:cs="Times New Roman"/>
                <w:b/>
                <w:bCs/>
                <w:color w:val="auto"/>
                <w:sz w:val="21"/>
                <w:szCs w:val="21"/>
              </w:rPr>
              <w:t>变化情况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152" w:type="dxa"/>
            <w:vMerge w:val="restart"/>
            <w:tcBorders>
              <w:top w:val="nil"/>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不锈钢烤漆大门</w:t>
            </w:r>
          </w:p>
        </w:tc>
        <w:tc>
          <w:tcPr>
            <w:tcW w:w="669"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单开门</w:t>
            </w:r>
          </w:p>
        </w:tc>
        <w:tc>
          <w:tcPr>
            <w:tcW w:w="2562"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1301mm*2375mm*205mm</w:t>
            </w:r>
          </w:p>
        </w:tc>
        <w:tc>
          <w:tcPr>
            <w:tcW w:w="1678"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925</w:t>
            </w:r>
          </w:p>
        </w:tc>
        <w:tc>
          <w:tcPr>
            <w:tcW w:w="1678"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kern w:val="0"/>
                <w:sz w:val="21"/>
                <w:szCs w:val="21"/>
              </w:rPr>
            </w:pPr>
            <w:r>
              <w:rPr>
                <w:rFonts w:cs="Times New Roman"/>
                <w:color w:val="auto"/>
                <w:kern w:val="0"/>
                <w:sz w:val="21"/>
                <w:szCs w:val="21"/>
              </w:rPr>
              <w:t>925</w:t>
            </w:r>
          </w:p>
        </w:tc>
        <w:tc>
          <w:tcPr>
            <w:tcW w:w="783" w:type="dxa"/>
            <w:tcBorders>
              <w:top w:val="single" w:color="auto" w:sz="4" w:space="0"/>
              <w:left w:val="single" w:color="auto" w:sz="4" w:space="0"/>
              <w:bottom w:val="single" w:color="auto" w:sz="4" w:space="0"/>
              <w:right w:val="single" w:color="auto" w:sz="4" w:space="0"/>
            </w:tcBorders>
          </w:tcPr>
          <w:p>
            <w:pPr>
              <w:widowControl/>
              <w:spacing w:line="240" w:lineRule="auto"/>
              <w:ind w:firstLine="0" w:firstLineChars="0"/>
              <w:jc w:val="center"/>
              <w:textAlignment w:val="center"/>
              <w:rPr>
                <w:rFonts w:cs="Times New Roman"/>
                <w:color w:val="auto"/>
                <w:kern w:val="0"/>
                <w:sz w:val="21"/>
                <w:szCs w:val="21"/>
              </w:rPr>
            </w:pPr>
            <w:r>
              <w:rPr>
                <w:rFonts w:cs="Times New Roman"/>
                <w:color w:val="auto"/>
                <w:kern w:val="0"/>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152"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669"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双开门</w:t>
            </w:r>
          </w:p>
        </w:tc>
        <w:tc>
          <w:tcPr>
            <w:tcW w:w="2562"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2120mm*3310mm*250mm</w:t>
            </w:r>
          </w:p>
        </w:tc>
        <w:tc>
          <w:tcPr>
            <w:tcW w:w="1678"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555</w:t>
            </w:r>
          </w:p>
        </w:tc>
        <w:tc>
          <w:tcPr>
            <w:tcW w:w="1678"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kern w:val="0"/>
                <w:sz w:val="21"/>
                <w:szCs w:val="21"/>
              </w:rPr>
            </w:pPr>
            <w:r>
              <w:rPr>
                <w:rFonts w:cs="Times New Roman"/>
                <w:color w:val="auto"/>
                <w:kern w:val="0"/>
                <w:sz w:val="21"/>
                <w:szCs w:val="21"/>
              </w:rPr>
              <w:t>555</w:t>
            </w:r>
          </w:p>
        </w:tc>
        <w:tc>
          <w:tcPr>
            <w:tcW w:w="783" w:type="dxa"/>
            <w:tcBorders>
              <w:top w:val="single" w:color="auto" w:sz="4" w:space="0"/>
              <w:left w:val="single" w:color="auto" w:sz="4" w:space="0"/>
              <w:bottom w:val="single" w:color="auto" w:sz="4" w:space="0"/>
              <w:right w:val="single" w:color="auto" w:sz="4" w:space="0"/>
            </w:tcBorders>
          </w:tcPr>
          <w:p>
            <w:pPr>
              <w:widowControl/>
              <w:spacing w:line="240" w:lineRule="auto"/>
              <w:ind w:firstLine="0" w:firstLineChars="0"/>
              <w:jc w:val="center"/>
              <w:textAlignment w:val="center"/>
              <w:rPr>
                <w:rFonts w:cs="Times New Roman"/>
                <w:color w:val="auto"/>
                <w:kern w:val="0"/>
                <w:sz w:val="21"/>
                <w:szCs w:val="21"/>
              </w:rPr>
            </w:pPr>
            <w:r>
              <w:rPr>
                <w:rFonts w:cs="Times New Roman"/>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152"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669"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四开门</w:t>
            </w:r>
          </w:p>
        </w:tc>
        <w:tc>
          <w:tcPr>
            <w:tcW w:w="2562"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3010mm*3440mm*220mm</w:t>
            </w:r>
          </w:p>
        </w:tc>
        <w:tc>
          <w:tcPr>
            <w:tcW w:w="1678" w:type="dxa"/>
            <w:tcBorders>
              <w:top w:val="single" w:color="auto" w:sz="4" w:space="0"/>
              <w:left w:val="single" w:color="auto" w:sz="4" w:space="0"/>
              <w:bottom w:val="nil"/>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370</w:t>
            </w:r>
          </w:p>
        </w:tc>
        <w:tc>
          <w:tcPr>
            <w:tcW w:w="1678" w:type="dxa"/>
            <w:tcBorders>
              <w:top w:val="single" w:color="auto" w:sz="4" w:space="0"/>
              <w:left w:val="single" w:color="auto" w:sz="4" w:space="0"/>
              <w:bottom w:val="nil"/>
              <w:right w:val="single" w:color="auto" w:sz="4" w:space="0"/>
            </w:tcBorders>
            <w:vAlign w:val="center"/>
          </w:tcPr>
          <w:p>
            <w:pPr>
              <w:widowControl/>
              <w:spacing w:line="240" w:lineRule="auto"/>
              <w:ind w:firstLine="0" w:firstLineChars="0"/>
              <w:jc w:val="center"/>
              <w:textAlignment w:val="center"/>
              <w:rPr>
                <w:rFonts w:cs="Times New Roman"/>
                <w:color w:val="auto"/>
                <w:kern w:val="0"/>
                <w:sz w:val="21"/>
                <w:szCs w:val="21"/>
              </w:rPr>
            </w:pPr>
            <w:r>
              <w:rPr>
                <w:rFonts w:cs="Times New Roman"/>
                <w:color w:val="auto"/>
                <w:kern w:val="0"/>
                <w:sz w:val="21"/>
                <w:szCs w:val="21"/>
              </w:rPr>
              <w:t>370</w:t>
            </w:r>
          </w:p>
        </w:tc>
        <w:tc>
          <w:tcPr>
            <w:tcW w:w="783" w:type="dxa"/>
            <w:tcBorders>
              <w:top w:val="single" w:color="auto" w:sz="4" w:space="0"/>
              <w:left w:val="single" w:color="auto" w:sz="4" w:space="0"/>
              <w:bottom w:val="nil"/>
              <w:right w:val="single" w:color="auto" w:sz="4" w:space="0"/>
            </w:tcBorders>
          </w:tcPr>
          <w:p>
            <w:pPr>
              <w:widowControl/>
              <w:spacing w:line="240" w:lineRule="auto"/>
              <w:ind w:firstLine="0" w:firstLineChars="0"/>
              <w:jc w:val="center"/>
              <w:textAlignment w:val="center"/>
              <w:rPr>
                <w:rFonts w:cs="Times New Roman"/>
                <w:color w:val="auto"/>
                <w:kern w:val="0"/>
                <w:sz w:val="21"/>
                <w:szCs w:val="21"/>
              </w:rPr>
            </w:pPr>
            <w:r>
              <w:rPr>
                <w:rFonts w:cs="Times New Roman"/>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821" w:type="dxa"/>
            <w:gridSpan w:val="2"/>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小计</w:t>
            </w:r>
          </w:p>
        </w:tc>
        <w:tc>
          <w:tcPr>
            <w:tcW w:w="2562"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w:t>
            </w:r>
          </w:p>
        </w:tc>
        <w:tc>
          <w:tcPr>
            <w:tcW w:w="1678"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1850</w:t>
            </w:r>
          </w:p>
        </w:tc>
        <w:tc>
          <w:tcPr>
            <w:tcW w:w="1678" w:type="dxa"/>
            <w:tcBorders>
              <w:top w:val="single" w:color="auto" w:sz="4" w:space="0"/>
              <w:left w:val="single" w:color="auto" w:sz="4" w:space="0"/>
              <w:bottom w:val="single" w:color="auto" w:sz="4" w:space="0"/>
              <w:right w:val="single" w:color="auto" w:sz="4" w:space="0"/>
            </w:tcBorders>
          </w:tcPr>
          <w:p>
            <w:pPr>
              <w:widowControl/>
              <w:spacing w:line="240" w:lineRule="auto"/>
              <w:ind w:firstLine="0" w:firstLineChars="0"/>
              <w:jc w:val="center"/>
              <w:textAlignment w:val="center"/>
              <w:rPr>
                <w:rFonts w:cs="Times New Roman"/>
                <w:color w:val="auto"/>
                <w:kern w:val="0"/>
                <w:sz w:val="21"/>
                <w:szCs w:val="21"/>
              </w:rPr>
            </w:pPr>
            <w:r>
              <w:rPr>
                <w:rFonts w:cs="Times New Roman"/>
                <w:color w:val="auto"/>
                <w:kern w:val="0"/>
                <w:sz w:val="21"/>
                <w:szCs w:val="21"/>
              </w:rPr>
              <w:t>1850</w:t>
            </w:r>
          </w:p>
        </w:tc>
        <w:tc>
          <w:tcPr>
            <w:tcW w:w="783"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kern w:val="0"/>
                <w:sz w:val="21"/>
                <w:szCs w:val="21"/>
              </w:rPr>
            </w:pPr>
            <w:r>
              <w:rPr>
                <w:rFonts w:cs="Times New Roman"/>
                <w:color w:val="auto"/>
                <w:kern w:val="0"/>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152" w:type="dxa"/>
            <w:vMerge w:val="restart"/>
            <w:tcBorders>
              <w:top w:val="nil"/>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不锈钢烤漆大门</w:t>
            </w:r>
          </w:p>
          <w:p>
            <w:pPr>
              <w:spacing w:line="240" w:lineRule="auto"/>
              <w:ind w:firstLine="0" w:firstLineChars="0"/>
              <w:jc w:val="center"/>
              <w:rPr>
                <w:rFonts w:cs="Times New Roman"/>
                <w:color w:val="auto"/>
                <w:sz w:val="21"/>
                <w:szCs w:val="21"/>
              </w:rPr>
            </w:pPr>
          </w:p>
        </w:tc>
        <w:tc>
          <w:tcPr>
            <w:tcW w:w="669"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单开门</w:t>
            </w:r>
          </w:p>
        </w:tc>
        <w:tc>
          <w:tcPr>
            <w:tcW w:w="2562"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1171mm*2335mm*225mm</w:t>
            </w:r>
          </w:p>
        </w:tc>
        <w:tc>
          <w:tcPr>
            <w:tcW w:w="1678"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60</w:t>
            </w:r>
          </w:p>
        </w:tc>
        <w:tc>
          <w:tcPr>
            <w:tcW w:w="1678"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kern w:val="0"/>
                <w:sz w:val="21"/>
                <w:szCs w:val="21"/>
              </w:rPr>
            </w:pPr>
            <w:r>
              <w:rPr>
                <w:rFonts w:cs="Times New Roman"/>
                <w:color w:val="auto"/>
                <w:kern w:val="0"/>
                <w:sz w:val="21"/>
                <w:szCs w:val="21"/>
              </w:rPr>
              <w:t>60</w:t>
            </w:r>
          </w:p>
        </w:tc>
        <w:tc>
          <w:tcPr>
            <w:tcW w:w="783" w:type="dxa"/>
            <w:tcBorders>
              <w:top w:val="single" w:color="auto" w:sz="4" w:space="0"/>
              <w:left w:val="single" w:color="auto" w:sz="4" w:space="0"/>
              <w:bottom w:val="single" w:color="auto" w:sz="4" w:space="0"/>
              <w:right w:val="single" w:color="auto" w:sz="4" w:space="0"/>
            </w:tcBorders>
          </w:tcPr>
          <w:p>
            <w:pPr>
              <w:widowControl/>
              <w:spacing w:line="240" w:lineRule="auto"/>
              <w:ind w:firstLine="0" w:firstLineChars="0"/>
              <w:jc w:val="center"/>
              <w:textAlignment w:val="center"/>
              <w:rPr>
                <w:rFonts w:cs="Times New Roman"/>
                <w:color w:val="auto"/>
                <w:kern w:val="0"/>
                <w:sz w:val="21"/>
                <w:szCs w:val="21"/>
              </w:rPr>
            </w:pPr>
            <w:r>
              <w:rPr>
                <w:rFonts w:cs="Times New Roman"/>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152"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669"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双开门</w:t>
            </w:r>
          </w:p>
        </w:tc>
        <w:tc>
          <w:tcPr>
            <w:tcW w:w="2562"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2000mm*3090mm*235mm</w:t>
            </w:r>
          </w:p>
        </w:tc>
        <w:tc>
          <w:tcPr>
            <w:tcW w:w="1678"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60</w:t>
            </w:r>
          </w:p>
        </w:tc>
        <w:tc>
          <w:tcPr>
            <w:tcW w:w="1678"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kern w:val="0"/>
                <w:sz w:val="21"/>
                <w:szCs w:val="21"/>
              </w:rPr>
            </w:pPr>
            <w:r>
              <w:rPr>
                <w:rFonts w:cs="Times New Roman"/>
                <w:color w:val="auto"/>
                <w:kern w:val="0"/>
                <w:sz w:val="21"/>
                <w:szCs w:val="21"/>
              </w:rPr>
              <w:t>60</w:t>
            </w:r>
          </w:p>
        </w:tc>
        <w:tc>
          <w:tcPr>
            <w:tcW w:w="783" w:type="dxa"/>
            <w:tcBorders>
              <w:top w:val="single" w:color="auto" w:sz="4" w:space="0"/>
              <w:left w:val="single" w:color="auto" w:sz="4" w:space="0"/>
              <w:bottom w:val="single" w:color="auto" w:sz="4" w:space="0"/>
              <w:right w:val="single" w:color="auto" w:sz="4" w:space="0"/>
            </w:tcBorders>
          </w:tcPr>
          <w:p>
            <w:pPr>
              <w:widowControl/>
              <w:spacing w:line="240" w:lineRule="auto"/>
              <w:ind w:firstLine="0" w:firstLineChars="0"/>
              <w:jc w:val="center"/>
              <w:textAlignment w:val="center"/>
              <w:rPr>
                <w:rFonts w:cs="Times New Roman"/>
                <w:color w:val="auto"/>
                <w:kern w:val="0"/>
                <w:sz w:val="21"/>
                <w:szCs w:val="21"/>
              </w:rPr>
            </w:pPr>
            <w:r>
              <w:rPr>
                <w:rFonts w:cs="Times New Roman"/>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152"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669"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四开门</w:t>
            </w:r>
          </w:p>
        </w:tc>
        <w:tc>
          <w:tcPr>
            <w:tcW w:w="2562"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3020mm*3170mm*210mm</w:t>
            </w:r>
          </w:p>
        </w:tc>
        <w:tc>
          <w:tcPr>
            <w:tcW w:w="1678" w:type="dxa"/>
            <w:tcBorders>
              <w:top w:val="single" w:color="auto" w:sz="4" w:space="0"/>
              <w:left w:val="single" w:color="auto" w:sz="4" w:space="0"/>
              <w:bottom w:val="nil"/>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30</w:t>
            </w:r>
          </w:p>
        </w:tc>
        <w:tc>
          <w:tcPr>
            <w:tcW w:w="1678" w:type="dxa"/>
            <w:tcBorders>
              <w:top w:val="single" w:color="auto" w:sz="4" w:space="0"/>
              <w:left w:val="single" w:color="auto" w:sz="4" w:space="0"/>
              <w:bottom w:val="nil"/>
              <w:right w:val="single" w:color="auto" w:sz="4" w:space="0"/>
            </w:tcBorders>
            <w:vAlign w:val="center"/>
          </w:tcPr>
          <w:p>
            <w:pPr>
              <w:widowControl/>
              <w:spacing w:line="240" w:lineRule="auto"/>
              <w:ind w:firstLine="0" w:firstLineChars="0"/>
              <w:jc w:val="center"/>
              <w:textAlignment w:val="center"/>
              <w:rPr>
                <w:rFonts w:cs="Times New Roman"/>
                <w:color w:val="auto"/>
                <w:kern w:val="0"/>
                <w:sz w:val="21"/>
                <w:szCs w:val="21"/>
              </w:rPr>
            </w:pPr>
            <w:r>
              <w:rPr>
                <w:rFonts w:cs="Times New Roman"/>
                <w:color w:val="auto"/>
                <w:kern w:val="0"/>
                <w:sz w:val="21"/>
                <w:szCs w:val="21"/>
              </w:rPr>
              <w:t>30</w:t>
            </w:r>
          </w:p>
        </w:tc>
        <w:tc>
          <w:tcPr>
            <w:tcW w:w="783" w:type="dxa"/>
            <w:tcBorders>
              <w:top w:val="single" w:color="auto" w:sz="4" w:space="0"/>
              <w:left w:val="single" w:color="auto" w:sz="4" w:space="0"/>
              <w:bottom w:val="nil"/>
              <w:right w:val="single" w:color="auto" w:sz="4" w:space="0"/>
            </w:tcBorders>
          </w:tcPr>
          <w:p>
            <w:pPr>
              <w:widowControl/>
              <w:spacing w:line="240" w:lineRule="auto"/>
              <w:ind w:firstLine="0" w:firstLineChars="0"/>
              <w:jc w:val="center"/>
              <w:textAlignment w:val="center"/>
              <w:rPr>
                <w:rFonts w:cs="Times New Roman"/>
                <w:color w:val="auto"/>
                <w:kern w:val="0"/>
                <w:sz w:val="21"/>
                <w:szCs w:val="21"/>
              </w:rPr>
            </w:pPr>
            <w:r>
              <w:rPr>
                <w:rFonts w:cs="Times New Roman"/>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821" w:type="dxa"/>
            <w:gridSpan w:val="2"/>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小计</w:t>
            </w:r>
          </w:p>
        </w:tc>
        <w:tc>
          <w:tcPr>
            <w:tcW w:w="2562"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w:t>
            </w:r>
          </w:p>
        </w:tc>
        <w:tc>
          <w:tcPr>
            <w:tcW w:w="1678"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150</w:t>
            </w:r>
          </w:p>
        </w:tc>
        <w:tc>
          <w:tcPr>
            <w:tcW w:w="1678" w:type="dxa"/>
            <w:tcBorders>
              <w:top w:val="single" w:color="auto" w:sz="4" w:space="0"/>
              <w:left w:val="single" w:color="auto" w:sz="4" w:space="0"/>
              <w:bottom w:val="single" w:color="auto" w:sz="4" w:space="0"/>
              <w:right w:val="single" w:color="auto" w:sz="4" w:space="0"/>
            </w:tcBorders>
          </w:tcPr>
          <w:p>
            <w:pPr>
              <w:widowControl/>
              <w:spacing w:line="240" w:lineRule="auto"/>
              <w:ind w:firstLine="0" w:firstLineChars="0"/>
              <w:jc w:val="center"/>
              <w:textAlignment w:val="center"/>
              <w:rPr>
                <w:rFonts w:cs="Times New Roman"/>
                <w:color w:val="auto"/>
                <w:kern w:val="0"/>
                <w:sz w:val="21"/>
                <w:szCs w:val="21"/>
              </w:rPr>
            </w:pPr>
            <w:r>
              <w:rPr>
                <w:rFonts w:cs="Times New Roman"/>
                <w:color w:val="auto"/>
                <w:kern w:val="0"/>
                <w:sz w:val="21"/>
                <w:szCs w:val="21"/>
              </w:rPr>
              <w:t>150</w:t>
            </w:r>
          </w:p>
        </w:tc>
        <w:tc>
          <w:tcPr>
            <w:tcW w:w="783"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kern w:val="0"/>
                <w:sz w:val="21"/>
                <w:szCs w:val="21"/>
              </w:rPr>
            </w:pPr>
            <w:r>
              <w:rPr>
                <w:rFonts w:cs="Times New Roman"/>
                <w:color w:val="auto"/>
                <w:kern w:val="0"/>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152" w:type="dxa"/>
            <w:vMerge w:val="restart"/>
            <w:tcBorders>
              <w:top w:val="nil"/>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不锈钢喷粉大门</w:t>
            </w:r>
          </w:p>
          <w:p>
            <w:pPr>
              <w:spacing w:line="240" w:lineRule="auto"/>
              <w:ind w:firstLine="0" w:firstLineChars="0"/>
              <w:jc w:val="center"/>
              <w:rPr>
                <w:rFonts w:cs="Times New Roman"/>
                <w:color w:val="auto"/>
                <w:sz w:val="21"/>
                <w:szCs w:val="21"/>
              </w:rPr>
            </w:pPr>
          </w:p>
        </w:tc>
        <w:tc>
          <w:tcPr>
            <w:tcW w:w="669"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单开门</w:t>
            </w:r>
          </w:p>
        </w:tc>
        <w:tc>
          <w:tcPr>
            <w:tcW w:w="2562"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1171mm*2335mm*225mm</w:t>
            </w:r>
          </w:p>
        </w:tc>
        <w:tc>
          <w:tcPr>
            <w:tcW w:w="1678"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kern w:val="0"/>
                <w:sz w:val="21"/>
                <w:szCs w:val="21"/>
              </w:rPr>
            </w:pPr>
            <w:r>
              <w:rPr>
                <w:rFonts w:cs="Times New Roman"/>
                <w:color w:val="auto"/>
                <w:kern w:val="0"/>
                <w:sz w:val="21"/>
                <w:szCs w:val="21"/>
              </w:rPr>
              <w:t>300</w:t>
            </w:r>
          </w:p>
        </w:tc>
        <w:tc>
          <w:tcPr>
            <w:tcW w:w="1678"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kern w:val="0"/>
                <w:sz w:val="21"/>
                <w:szCs w:val="21"/>
              </w:rPr>
            </w:pPr>
            <w:r>
              <w:rPr>
                <w:rFonts w:cs="Times New Roman"/>
                <w:color w:val="auto"/>
                <w:kern w:val="0"/>
                <w:sz w:val="21"/>
                <w:szCs w:val="21"/>
              </w:rPr>
              <w:t>300</w:t>
            </w:r>
          </w:p>
        </w:tc>
        <w:tc>
          <w:tcPr>
            <w:tcW w:w="783" w:type="dxa"/>
            <w:tcBorders>
              <w:top w:val="single" w:color="auto" w:sz="4" w:space="0"/>
              <w:left w:val="single" w:color="auto" w:sz="4" w:space="0"/>
              <w:bottom w:val="single" w:color="auto" w:sz="4" w:space="0"/>
              <w:right w:val="single" w:color="auto" w:sz="4" w:space="0"/>
            </w:tcBorders>
          </w:tcPr>
          <w:p>
            <w:pPr>
              <w:widowControl/>
              <w:spacing w:line="240" w:lineRule="auto"/>
              <w:ind w:firstLine="0" w:firstLineChars="0"/>
              <w:jc w:val="center"/>
              <w:textAlignment w:val="center"/>
              <w:rPr>
                <w:rFonts w:cs="Times New Roman"/>
                <w:color w:val="auto"/>
                <w:kern w:val="0"/>
                <w:sz w:val="21"/>
                <w:szCs w:val="21"/>
              </w:rPr>
            </w:pPr>
            <w:r>
              <w:rPr>
                <w:rFonts w:cs="Times New Roman"/>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152"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669"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双开门</w:t>
            </w:r>
          </w:p>
        </w:tc>
        <w:tc>
          <w:tcPr>
            <w:tcW w:w="2562"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2120mm*3310mm*250mm</w:t>
            </w:r>
          </w:p>
        </w:tc>
        <w:tc>
          <w:tcPr>
            <w:tcW w:w="1678"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kern w:val="0"/>
                <w:sz w:val="21"/>
                <w:szCs w:val="21"/>
              </w:rPr>
            </w:pPr>
            <w:r>
              <w:rPr>
                <w:rFonts w:cs="Times New Roman"/>
                <w:color w:val="auto"/>
                <w:kern w:val="0"/>
                <w:sz w:val="21"/>
                <w:szCs w:val="21"/>
              </w:rPr>
              <w:t>500</w:t>
            </w:r>
          </w:p>
        </w:tc>
        <w:tc>
          <w:tcPr>
            <w:tcW w:w="1678"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kern w:val="0"/>
                <w:sz w:val="21"/>
                <w:szCs w:val="21"/>
              </w:rPr>
            </w:pPr>
            <w:r>
              <w:rPr>
                <w:rFonts w:cs="Times New Roman"/>
                <w:color w:val="auto"/>
                <w:kern w:val="0"/>
                <w:sz w:val="21"/>
                <w:szCs w:val="21"/>
              </w:rPr>
              <w:t>500</w:t>
            </w:r>
          </w:p>
        </w:tc>
        <w:tc>
          <w:tcPr>
            <w:tcW w:w="783" w:type="dxa"/>
            <w:tcBorders>
              <w:top w:val="single" w:color="auto" w:sz="4" w:space="0"/>
              <w:left w:val="single" w:color="auto" w:sz="4" w:space="0"/>
              <w:bottom w:val="single" w:color="auto" w:sz="4" w:space="0"/>
              <w:right w:val="single" w:color="auto" w:sz="4" w:space="0"/>
            </w:tcBorders>
          </w:tcPr>
          <w:p>
            <w:pPr>
              <w:widowControl/>
              <w:spacing w:line="240" w:lineRule="auto"/>
              <w:ind w:firstLine="0" w:firstLineChars="0"/>
              <w:jc w:val="center"/>
              <w:textAlignment w:val="center"/>
              <w:rPr>
                <w:rFonts w:cs="Times New Roman"/>
                <w:color w:val="auto"/>
                <w:kern w:val="0"/>
                <w:sz w:val="21"/>
                <w:szCs w:val="21"/>
              </w:rPr>
            </w:pPr>
            <w:r>
              <w:rPr>
                <w:rFonts w:cs="Times New Roman"/>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152"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669"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四开门</w:t>
            </w:r>
          </w:p>
        </w:tc>
        <w:tc>
          <w:tcPr>
            <w:tcW w:w="2562"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3020mm*3170mm*210mm</w:t>
            </w:r>
          </w:p>
        </w:tc>
        <w:tc>
          <w:tcPr>
            <w:tcW w:w="1678" w:type="dxa"/>
            <w:tcBorders>
              <w:top w:val="single" w:color="auto" w:sz="4" w:space="0"/>
              <w:left w:val="single" w:color="auto" w:sz="4" w:space="0"/>
              <w:bottom w:val="nil"/>
              <w:right w:val="single" w:color="auto" w:sz="4" w:space="0"/>
            </w:tcBorders>
            <w:vAlign w:val="center"/>
          </w:tcPr>
          <w:p>
            <w:pPr>
              <w:widowControl/>
              <w:spacing w:line="240" w:lineRule="auto"/>
              <w:ind w:firstLine="0" w:firstLineChars="0"/>
              <w:jc w:val="center"/>
              <w:textAlignment w:val="center"/>
              <w:rPr>
                <w:rFonts w:cs="Times New Roman"/>
                <w:color w:val="auto"/>
                <w:kern w:val="0"/>
                <w:sz w:val="21"/>
                <w:szCs w:val="21"/>
              </w:rPr>
            </w:pPr>
            <w:r>
              <w:rPr>
                <w:rFonts w:cs="Times New Roman"/>
                <w:color w:val="auto"/>
                <w:kern w:val="0"/>
                <w:sz w:val="21"/>
                <w:szCs w:val="21"/>
              </w:rPr>
              <w:t>200</w:t>
            </w:r>
          </w:p>
        </w:tc>
        <w:tc>
          <w:tcPr>
            <w:tcW w:w="1678" w:type="dxa"/>
            <w:tcBorders>
              <w:top w:val="single" w:color="auto" w:sz="4" w:space="0"/>
              <w:left w:val="single" w:color="auto" w:sz="4" w:space="0"/>
              <w:bottom w:val="nil"/>
              <w:right w:val="single" w:color="auto" w:sz="4" w:space="0"/>
            </w:tcBorders>
            <w:vAlign w:val="center"/>
          </w:tcPr>
          <w:p>
            <w:pPr>
              <w:widowControl/>
              <w:spacing w:line="240" w:lineRule="auto"/>
              <w:ind w:firstLine="0" w:firstLineChars="0"/>
              <w:jc w:val="center"/>
              <w:textAlignment w:val="center"/>
              <w:rPr>
                <w:rFonts w:cs="Times New Roman"/>
                <w:color w:val="auto"/>
                <w:kern w:val="0"/>
                <w:sz w:val="21"/>
                <w:szCs w:val="21"/>
              </w:rPr>
            </w:pPr>
            <w:r>
              <w:rPr>
                <w:rFonts w:cs="Times New Roman"/>
                <w:color w:val="auto"/>
                <w:kern w:val="0"/>
                <w:sz w:val="21"/>
                <w:szCs w:val="21"/>
              </w:rPr>
              <w:t>200</w:t>
            </w:r>
          </w:p>
        </w:tc>
        <w:tc>
          <w:tcPr>
            <w:tcW w:w="783" w:type="dxa"/>
            <w:tcBorders>
              <w:top w:val="single" w:color="auto" w:sz="4" w:space="0"/>
              <w:left w:val="single" w:color="auto" w:sz="4" w:space="0"/>
              <w:bottom w:val="nil"/>
              <w:right w:val="single" w:color="auto" w:sz="4" w:space="0"/>
            </w:tcBorders>
          </w:tcPr>
          <w:p>
            <w:pPr>
              <w:widowControl/>
              <w:spacing w:line="240" w:lineRule="auto"/>
              <w:ind w:firstLine="0" w:firstLineChars="0"/>
              <w:jc w:val="center"/>
              <w:textAlignment w:val="center"/>
              <w:rPr>
                <w:rFonts w:cs="Times New Roman"/>
                <w:color w:val="auto"/>
                <w:kern w:val="0"/>
                <w:sz w:val="21"/>
                <w:szCs w:val="21"/>
              </w:rPr>
            </w:pPr>
            <w:r>
              <w:rPr>
                <w:rFonts w:cs="Times New Roman"/>
                <w:color w:val="auto"/>
                <w:sz w:val="21"/>
                <w:szCs w:val="21"/>
              </w:rP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821" w:type="dxa"/>
            <w:gridSpan w:val="2"/>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合计</w:t>
            </w:r>
          </w:p>
        </w:tc>
        <w:tc>
          <w:tcPr>
            <w:tcW w:w="6701" w:type="dxa"/>
            <w:gridSpan w:val="4"/>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kern w:val="0"/>
                <w:sz w:val="21"/>
                <w:szCs w:val="21"/>
              </w:rPr>
            </w:pPr>
            <w:r>
              <w:rPr>
                <w:rFonts w:cs="Times New Roman"/>
                <w:color w:val="auto"/>
                <w:kern w:val="0"/>
                <w:sz w:val="21"/>
                <w:szCs w:val="21"/>
              </w:rPr>
              <w:t>3000</w:t>
            </w:r>
          </w:p>
        </w:tc>
      </w:tr>
      <w:bookmarkEnd w:id="21"/>
    </w:tbl>
    <w:p>
      <w:pPr>
        <w:pStyle w:val="3"/>
        <w:numPr>
          <w:ilvl w:val="0"/>
          <w:numId w:val="0"/>
        </w:numPr>
        <w:spacing w:before="312" w:beforeLines="100"/>
        <w:ind w:left="113"/>
        <w:rPr>
          <w:color w:val="auto"/>
        </w:rPr>
      </w:pPr>
      <w:bookmarkStart w:id="23" w:name="_Toc7590"/>
      <w:r>
        <w:rPr>
          <w:rFonts w:hint="eastAsia"/>
          <w:color w:val="auto"/>
        </w:rPr>
        <w:t>3.5 水源及水平衡</w:t>
      </w:r>
      <w:bookmarkEnd w:id="23"/>
    </w:p>
    <w:p>
      <w:pPr>
        <w:ind w:firstLine="480"/>
        <w:rPr>
          <w:rFonts w:cs="Times New Roman"/>
          <w:color w:val="auto"/>
          <w:szCs w:val="24"/>
        </w:rPr>
      </w:pPr>
      <w:r>
        <w:rPr>
          <w:rFonts w:cs="Times New Roman"/>
          <w:color w:val="auto"/>
          <w:szCs w:val="24"/>
        </w:rPr>
        <w:t>本项目供水由市政统一供给，产生的生活污水经三级化粪池处理</w:t>
      </w:r>
      <w:r>
        <w:rPr>
          <w:rFonts w:cs="Times New Roman"/>
          <w:bCs/>
          <w:color w:val="auto"/>
          <w:szCs w:val="24"/>
        </w:rPr>
        <w:t>达到广东省《水污染物排放限值》（DB44/26-2001）第二时段三级标准</w:t>
      </w:r>
      <w:r>
        <w:rPr>
          <w:rFonts w:cs="Times New Roman"/>
          <w:color w:val="auto"/>
          <w:kern w:val="0"/>
          <w:szCs w:val="24"/>
        </w:rPr>
        <w:t>后，</w:t>
      </w:r>
      <w:r>
        <w:rPr>
          <w:rFonts w:cs="Times New Roman"/>
          <w:bCs/>
          <w:color w:val="auto"/>
          <w:szCs w:val="24"/>
        </w:rPr>
        <w:t>由市政污水管网排入</w:t>
      </w:r>
      <w:r>
        <w:rPr>
          <w:rFonts w:cs="Times New Roman"/>
          <w:color w:val="auto"/>
          <w:kern w:val="21"/>
          <w:szCs w:val="24"/>
        </w:rPr>
        <w:t>水东湾新城水质净化厂</w:t>
      </w:r>
      <w:r>
        <w:rPr>
          <w:rFonts w:cs="Times New Roman"/>
          <w:bCs/>
          <w:color w:val="auto"/>
          <w:szCs w:val="24"/>
        </w:rPr>
        <w:t>集中处理；生产废水（喷淋塔及水帘柜更换废水）近期达到茂名华清水务有限公司的进水标准通过槽罐车外运至茂名华清水务有限公司处理，</w:t>
      </w:r>
      <w:r>
        <w:rPr>
          <w:rFonts w:cs="Times New Roman"/>
          <w:color w:val="auto"/>
          <w:szCs w:val="24"/>
        </w:rPr>
        <w:t>远期待电白新材料产业园区污水处理厂建设完成后，进入园区污水处理厂处理</w:t>
      </w:r>
      <w:r>
        <w:rPr>
          <w:rFonts w:cs="Times New Roman"/>
          <w:bCs/>
          <w:color w:val="auto"/>
          <w:szCs w:val="24"/>
        </w:rPr>
        <w:t>。全厂</w:t>
      </w:r>
      <w:r>
        <w:rPr>
          <w:rFonts w:cs="Times New Roman"/>
          <w:color w:val="auto"/>
          <w:szCs w:val="24"/>
        </w:rPr>
        <w:t>用、排水情况如下：</w:t>
      </w:r>
    </w:p>
    <w:p>
      <w:pPr>
        <w:ind w:firstLine="480"/>
        <w:rPr>
          <w:rFonts w:cs="Times New Roman"/>
          <w:color w:val="auto"/>
          <w:szCs w:val="24"/>
        </w:rPr>
      </w:pPr>
      <w:r>
        <w:rPr>
          <w:rFonts w:ascii="Cambria Math" w:hAnsi="Cambria Math" w:cs="Cambria Math"/>
          <w:color w:val="auto"/>
          <w:kern w:val="0"/>
          <w:szCs w:val="24"/>
        </w:rPr>
        <w:t>①</w:t>
      </w:r>
      <w:r>
        <w:rPr>
          <w:rFonts w:cs="Times New Roman"/>
          <w:color w:val="auto"/>
          <w:kern w:val="0"/>
          <w:szCs w:val="24"/>
        </w:rPr>
        <w:t>生活用、排水</w:t>
      </w:r>
    </w:p>
    <w:p>
      <w:pPr>
        <w:ind w:firstLine="480"/>
        <w:rPr>
          <w:rFonts w:cs="Times New Roman"/>
          <w:color w:val="auto"/>
          <w:szCs w:val="24"/>
        </w:rPr>
      </w:pPr>
      <w:r>
        <w:rPr>
          <w:rFonts w:cs="Times New Roman"/>
          <w:color w:val="auto"/>
          <w:kern w:val="0"/>
          <w:szCs w:val="24"/>
        </w:rPr>
        <w:t>根据</w:t>
      </w:r>
      <w:r>
        <w:rPr>
          <w:rFonts w:hint="eastAsia" w:cs="Times New Roman"/>
          <w:color w:val="auto"/>
          <w:kern w:val="0"/>
          <w:szCs w:val="24"/>
        </w:rPr>
        <w:t>建设单位提供资料</w:t>
      </w:r>
      <w:r>
        <w:rPr>
          <w:rFonts w:cs="Times New Roman"/>
          <w:color w:val="auto"/>
          <w:kern w:val="0"/>
          <w:szCs w:val="24"/>
        </w:rPr>
        <w:t>，本项目</w:t>
      </w:r>
      <w:r>
        <w:rPr>
          <w:rFonts w:hint="eastAsia" w:cs="Times New Roman"/>
          <w:color w:val="auto"/>
          <w:kern w:val="0"/>
          <w:szCs w:val="24"/>
        </w:rPr>
        <w:t>1542.38</w:t>
      </w:r>
      <w:r>
        <w:rPr>
          <w:rFonts w:cs="Times New Roman"/>
          <w:color w:val="auto"/>
          <w:kern w:val="0"/>
          <w:szCs w:val="24"/>
        </w:rPr>
        <w:t>m</w:t>
      </w:r>
      <w:r>
        <w:rPr>
          <w:rFonts w:cs="Times New Roman"/>
          <w:color w:val="auto"/>
          <w:kern w:val="0"/>
          <w:szCs w:val="24"/>
          <w:vertAlign w:val="superscript"/>
        </w:rPr>
        <w:t>3</w:t>
      </w:r>
      <w:r>
        <w:rPr>
          <w:rFonts w:cs="Times New Roman"/>
          <w:color w:val="auto"/>
          <w:kern w:val="0"/>
          <w:szCs w:val="24"/>
        </w:rPr>
        <w:t>/a</w:t>
      </w:r>
      <w:r>
        <w:rPr>
          <w:rFonts w:hint="eastAsia" w:cs="Times New Roman"/>
          <w:color w:val="auto"/>
          <w:kern w:val="0"/>
          <w:szCs w:val="24"/>
        </w:rPr>
        <w:t>，其中</w:t>
      </w:r>
      <w:r>
        <w:rPr>
          <w:rFonts w:cs="Times New Roman"/>
          <w:color w:val="auto"/>
          <w:kern w:val="0"/>
          <w:szCs w:val="24"/>
        </w:rPr>
        <w:t>生活用水量705m</w:t>
      </w:r>
      <w:r>
        <w:rPr>
          <w:rFonts w:cs="Times New Roman"/>
          <w:color w:val="auto"/>
          <w:kern w:val="0"/>
          <w:szCs w:val="24"/>
          <w:vertAlign w:val="superscript"/>
        </w:rPr>
        <w:t>3</w:t>
      </w:r>
      <w:r>
        <w:rPr>
          <w:rFonts w:cs="Times New Roman"/>
          <w:color w:val="auto"/>
          <w:kern w:val="0"/>
          <w:szCs w:val="24"/>
        </w:rPr>
        <w:t>/a</w:t>
      </w:r>
      <w:r>
        <w:rPr>
          <w:rFonts w:cs="Times New Roman"/>
          <w:color w:val="auto"/>
          <w:szCs w:val="24"/>
        </w:rPr>
        <w:t>。</w:t>
      </w:r>
    </w:p>
    <w:p>
      <w:pPr>
        <w:ind w:firstLine="480"/>
        <w:rPr>
          <w:rFonts w:cs="Times New Roman"/>
          <w:color w:val="auto"/>
          <w:szCs w:val="24"/>
        </w:rPr>
      </w:pPr>
      <w:r>
        <w:rPr>
          <w:rFonts w:ascii="Cambria Math" w:hAnsi="Cambria Math" w:cs="Cambria Math"/>
          <w:color w:val="auto"/>
          <w:szCs w:val="24"/>
        </w:rPr>
        <w:t>②</w:t>
      </w:r>
      <w:r>
        <w:rPr>
          <w:rFonts w:cs="Times New Roman"/>
          <w:color w:val="auto"/>
          <w:szCs w:val="24"/>
        </w:rPr>
        <w:t>调漆用水</w:t>
      </w:r>
    </w:p>
    <w:p>
      <w:pPr>
        <w:snapToGrid w:val="0"/>
        <w:ind w:firstLine="480"/>
        <w:rPr>
          <w:rFonts w:cs="Times New Roman"/>
          <w:bCs/>
          <w:color w:val="auto"/>
          <w:szCs w:val="24"/>
        </w:rPr>
      </w:pPr>
      <w:r>
        <w:rPr>
          <w:rFonts w:hint="eastAsia" w:cs="Times New Roman"/>
          <w:bCs/>
          <w:color w:val="auto"/>
          <w:szCs w:val="24"/>
        </w:rPr>
        <w:t>根据建设单位提供资料</w:t>
      </w:r>
      <w:r>
        <w:rPr>
          <w:rFonts w:cs="Times New Roman"/>
          <w:color w:val="auto"/>
          <w:kern w:val="0"/>
          <w:szCs w:val="24"/>
        </w:rPr>
        <w:t>，</w:t>
      </w:r>
      <w:r>
        <w:rPr>
          <w:rFonts w:cs="Times New Roman"/>
          <w:bCs/>
          <w:color w:val="auto"/>
          <w:szCs w:val="24"/>
        </w:rPr>
        <w:t>本项目喷涂水性涂料调配用水量为1.91</w:t>
      </w:r>
      <w:r>
        <w:rPr>
          <w:rFonts w:cs="Times New Roman"/>
          <w:color w:val="auto"/>
          <w:kern w:val="0"/>
          <w:szCs w:val="24"/>
        </w:rPr>
        <w:t>m</w:t>
      </w:r>
      <w:r>
        <w:rPr>
          <w:rFonts w:cs="Times New Roman"/>
          <w:color w:val="auto"/>
          <w:kern w:val="0"/>
          <w:szCs w:val="24"/>
          <w:vertAlign w:val="superscript"/>
        </w:rPr>
        <w:t>3</w:t>
      </w:r>
      <w:r>
        <w:rPr>
          <w:rFonts w:cs="Times New Roman"/>
          <w:bCs/>
          <w:color w:val="auto"/>
          <w:szCs w:val="24"/>
        </w:rPr>
        <w:t>/a，其中新鲜用水量1.82t/a，水性涂料喷枪清洗废液0.09t/a。调配用水部分喷漆漆雾进入水帘柜和喷淋塔，部分蒸发损耗，不产生废水。</w:t>
      </w:r>
    </w:p>
    <w:p>
      <w:pPr>
        <w:ind w:firstLine="480"/>
        <w:rPr>
          <w:rFonts w:cs="Times New Roman"/>
          <w:color w:val="auto"/>
          <w:szCs w:val="24"/>
        </w:rPr>
      </w:pPr>
      <w:r>
        <w:rPr>
          <w:rFonts w:ascii="Cambria Math" w:hAnsi="Cambria Math" w:cs="Cambria Math"/>
          <w:color w:val="auto"/>
          <w:szCs w:val="24"/>
        </w:rPr>
        <w:t>③</w:t>
      </w:r>
      <w:r>
        <w:rPr>
          <w:rFonts w:cs="Times New Roman"/>
          <w:color w:val="auto"/>
          <w:szCs w:val="24"/>
        </w:rPr>
        <w:t>洗枪用水</w:t>
      </w:r>
    </w:p>
    <w:p>
      <w:pPr>
        <w:tabs>
          <w:tab w:val="center" w:pos="4153"/>
          <w:tab w:val="right" w:pos="8306"/>
        </w:tabs>
        <w:snapToGrid w:val="0"/>
        <w:ind w:firstLine="480"/>
        <w:rPr>
          <w:rFonts w:cs="Times New Roman"/>
          <w:bCs/>
          <w:color w:val="auto"/>
          <w:kern w:val="0"/>
          <w:szCs w:val="24"/>
        </w:rPr>
      </w:pPr>
      <w:r>
        <w:rPr>
          <w:rFonts w:hint="eastAsia" w:cs="Times New Roman"/>
          <w:bCs/>
          <w:color w:val="auto"/>
          <w:kern w:val="0"/>
          <w:szCs w:val="24"/>
        </w:rPr>
        <w:t>根据建设单位提供资料</w:t>
      </w:r>
      <w:r>
        <w:rPr>
          <w:rFonts w:cs="Times New Roman"/>
          <w:bCs/>
          <w:color w:val="auto"/>
          <w:kern w:val="0"/>
          <w:szCs w:val="24"/>
        </w:rPr>
        <w:t>，本项目喷枪清洗用水量为0.09t/a，</w:t>
      </w:r>
      <w:r>
        <w:rPr>
          <w:rFonts w:cs="Times New Roman"/>
          <w:color w:val="auto"/>
          <w:kern w:val="0"/>
          <w:szCs w:val="24"/>
        </w:rPr>
        <w:t>全部回用于调漆，不外排</w:t>
      </w:r>
      <w:r>
        <w:rPr>
          <w:rFonts w:cs="Times New Roman"/>
          <w:bCs/>
          <w:color w:val="auto"/>
          <w:kern w:val="0"/>
          <w:szCs w:val="24"/>
        </w:rPr>
        <w:t>。</w:t>
      </w:r>
    </w:p>
    <w:p>
      <w:pPr>
        <w:snapToGrid w:val="0"/>
        <w:ind w:firstLine="480"/>
        <w:rPr>
          <w:rFonts w:cs="Times New Roman"/>
          <w:bCs/>
          <w:color w:val="auto"/>
          <w:szCs w:val="24"/>
        </w:rPr>
      </w:pPr>
      <w:r>
        <w:rPr>
          <w:rFonts w:ascii="Cambria Math" w:hAnsi="Cambria Math" w:cs="Cambria Math"/>
          <w:bCs/>
          <w:color w:val="auto"/>
          <w:szCs w:val="24"/>
        </w:rPr>
        <w:t>④</w:t>
      </w:r>
      <w:r>
        <w:rPr>
          <w:rFonts w:cs="Times New Roman"/>
          <w:bCs/>
          <w:color w:val="auto"/>
          <w:szCs w:val="24"/>
        </w:rPr>
        <w:t>胶合工序用水</w:t>
      </w:r>
    </w:p>
    <w:p>
      <w:pPr>
        <w:snapToGrid w:val="0"/>
        <w:ind w:firstLine="480"/>
        <w:rPr>
          <w:rFonts w:cs="Times New Roman"/>
          <w:bCs/>
          <w:color w:val="auto"/>
          <w:szCs w:val="24"/>
        </w:rPr>
      </w:pPr>
      <w:r>
        <w:rPr>
          <w:rFonts w:hint="eastAsia" w:cs="Times New Roman"/>
          <w:bCs/>
          <w:color w:val="auto"/>
          <w:szCs w:val="24"/>
        </w:rPr>
        <w:t>根据建设单位提供资料</w:t>
      </w:r>
      <w:r>
        <w:rPr>
          <w:rFonts w:cs="Times New Roman"/>
          <w:bCs/>
          <w:color w:val="auto"/>
          <w:szCs w:val="24"/>
        </w:rPr>
        <w:t>，本项目2台胶合机</w:t>
      </w:r>
      <w:r>
        <w:rPr>
          <w:rFonts w:cs="Times New Roman"/>
          <w:color w:val="auto"/>
          <w:kern w:val="0"/>
          <w:szCs w:val="24"/>
        </w:rPr>
        <w:t>水箱热水为间接加热，热水循环利用，不需要更换，循环水量为8400m</w:t>
      </w:r>
      <w:r>
        <w:rPr>
          <w:rFonts w:cs="Times New Roman"/>
          <w:color w:val="auto"/>
          <w:kern w:val="0"/>
          <w:szCs w:val="24"/>
          <w:vertAlign w:val="superscript"/>
        </w:rPr>
        <w:t>3</w:t>
      </w:r>
      <w:r>
        <w:rPr>
          <w:rFonts w:cs="Times New Roman"/>
          <w:bCs/>
          <w:color w:val="auto"/>
          <w:szCs w:val="24"/>
        </w:rPr>
        <w:t>/a，</w:t>
      </w:r>
      <w:r>
        <w:rPr>
          <w:rFonts w:cs="Times New Roman"/>
          <w:color w:val="auto"/>
          <w:szCs w:val="24"/>
        </w:rPr>
        <w:t>由于蒸发作用，需定期对水箱添加新鲜水，</w:t>
      </w:r>
      <w:r>
        <w:rPr>
          <w:rFonts w:cs="Times New Roman"/>
          <w:bCs/>
          <w:color w:val="auto"/>
          <w:szCs w:val="24"/>
        </w:rPr>
        <w:t>水箱新鲜补水量为8.4</w:t>
      </w:r>
      <w:r>
        <w:rPr>
          <w:rFonts w:cs="Times New Roman"/>
          <w:color w:val="auto"/>
          <w:kern w:val="0"/>
          <w:szCs w:val="24"/>
        </w:rPr>
        <w:t>m</w:t>
      </w:r>
      <w:r>
        <w:rPr>
          <w:rFonts w:cs="Times New Roman"/>
          <w:color w:val="auto"/>
          <w:kern w:val="0"/>
          <w:szCs w:val="24"/>
          <w:vertAlign w:val="superscript"/>
        </w:rPr>
        <w:t>3</w:t>
      </w:r>
      <w:r>
        <w:rPr>
          <w:rFonts w:cs="Times New Roman"/>
          <w:bCs/>
          <w:color w:val="auto"/>
          <w:szCs w:val="24"/>
        </w:rPr>
        <w:t>/a。</w:t>
      </w:r>
    </w:p>
    <w:p>
      <w:pPr>
        <w:snapToGrid w:val="0"/>
        <w:ind w:firstLine="480"/>
        <w:rPr>
          <w:rFonts w:cs="Times New Roman"/>
          <w:bCs/>
          <w:color w:val="auto"/>
          <w:szCs w:val="24"/>
        </w:rPr>
      </w:pPr>
      <w:r>
        <w:rPr>
          <w:rFonts w:ascii="Cambria Math" w:hAnsi="Cambria Math" w:cs="Cambria Math"/>
          <w:bCs/>
          <w:color w:val="auto"/>
          <w:szCs w:val="24"/>
        </w:rPr>
        <w:t>⑤</w:t>
      </w:r>
      <w:r>
        <w:rPr>
          <w:rFonts w:cs="Times New Roman"/>
          <w:bCs/>
          <w:color w:val="auto"/>
          <w:szCs w:val="24"/>
        </w:rPr>
        <w:t>冲孔工序用水</w:t>
      </w:r>
    </w:p>
    <w:p>
      <w:pPr>
        <w:ind w:firstLine="480"/>
        <w:rPr>
          <w:rFonts w:cs="Times New Roman"/>
          <w:color w:val="auto"/>
          <w:kern w:val="0"/>
          <w:szCs w:val="24"/>
        </w:rPr>
      </w:pPr>
      <w:r>
        <w:rPr>
          <w:rFonts w:hint="eastAsia" w:cs="Times New Roman"/>
          <w:bCs/>
          <w:color w:val="auto"/>
          <w:szCs w:val="24"/>
        </w:rPr>
        <w:t>根据建设单位提供资料</w:t>
      </w:r>
      <w:r>
        <w:rPr>
          <w:rFonts w:cs="Times New Roman"/>
          <w:bCs/>
          <w:color w:val="auto"/>
          <w:szCs w:val="24"/>
        </w:rPr>
        <w:t>，本项目冲孔工序</w:t>
      </w:r>
      <w:r>
        <w:rPr>
          <w:rFonts w:cs="Times New Roman"/>
          <w:color w:val="auto"/>
          <w:kern w:val="0"/>
          <w:szCs w:val="24"/>
        </w:rPr>
        <w:t>线割机使用的乳化油调配用水量为5m</w:t>
      </w:r>
      <w:r>
        <w:rPr>
          <w:rFonts w:cs="Times New Roman"/>
          <w:color w:val="auto"/>
          <w:kern w:val="0"/>
          <w:szCs w:val="24"/>
          <w:vertAlign w:val="superscript"/>
        </w:rPr>
        <w:t>3</w:t>
      </w:r>
      <w:r>
        <w:rPr>
          <w:rFonts w:cs="Times New Roman"/>
          <w:color w:val="auto"/>
          <w:kern w:val="0"/>
          <w:szCs w:val="24"/>
        </w:rPr>
        <w:t>/a，调配用水1.188m</w:t>
      </w:r>
      <w:r>
        <w:rPr>
          <w:rFonts w:cs="Times New Roman"/>
          <w:color w:val="auto"/>
          <w:kern w:val="0"/>
          <w:szCs w:val="24"/>
          <w:vertAlign w:val="superscript"/>
        </w:rPr>
        <w:t>3</w:t>
      </w:r>
      <w:r>
        <w:rPr>
          <w:rFonts w:cs="Times New Roman"/>
          <w:color w:val="auto"/>
          <w:kern w:val="0"/>
          <w:szCs w:val="24"/>
        </w:rPr>
        <w:t>/a随废乳化油作为危废，</w:t>
      </w:r>
      <w:r>
        <w:rPr>
          <w:rFonts w:cs="Times New Roman"/>
          <w:color w:val="auto"/>
          <w:szCs w:val="24"/>
        </w:rPr>
        <w:t>交由有危险废物处置资质的单位处置，不外排，调配用水损耗量为3.812</w:t>
      </w:r>
      <w:r>
        <w:rPr>
          <w:rFonts w:cs="Times New Roman"/>
          <w:color w:val="auto"/>
          <w:kern w:val="0"/>
          <w:szCs w:val="24"/>
        </w:rPr>
        <w:t>m</w:t>
      </w:r>
      <w:r>
        <w:rPr>
          <w:rFonts w:cs="Times New Roman"/>
          <w:color w:val="auto"/>
          <w:kern w:val="0"/>
          <w:szCs w:val="24"/>
          <w:vertAlign w:val="superscript"/>
        </w:rPr>
        <w:t>3</w:t>
      </w:r>
      <w:r>
        <w:rPr>
          <w:rFonts w:cs="Times New Roman"/>
          <w:color w:val="auto"/>
          <w:kern w:val="0"/>
          <w:szCs w:val="24"/>
        </w:rPr>
        <w:t>/a</w:t>
      </w:r>
      <w:r>
        <w:rPr>
          <w:rFonts w:cs="Times New Roman"/>
          <w:color w:val="auto"/>
          <w:szCs w:val="24"/>
        </w:rPr>
        <w:t>。</w:t>
      </w:r>
    </w:p>
    <w:p>
      <w:pPr>
        <w:ind w:firstLine="480"/>
        <w:rPr>
          <w:rFonts w:cs="Times New Roman"/>
          <w:color w:val="auto"/>
          <w:kern w:val="0"/>
          <w:szCs w:val="24"/>
        </w:rPr>
      </w:pPr>
      <w:r>
        <w:rPr>
          <w:rFonts w:ascii="Cambria Math" w:hAnsi="Cambria Math" w:cs="Cambria Math"/>
          <w:color w:val="auto"/>
          <w:kern w:val="0"/>
          <w:szCs w:val="24"/>
        </w:rPr>
        <w:t>⑥</w:t>
      </w:r>
      <w:r>
        <w:rPr>
          <w:rFonts w:cs="Times New Roman"/>
          <w:color w:val="auto"/>
          <w:kern w:val="0"/>
          <w:szCs w:val="24"/>
        </w:rPr>
        <w:t>喷淋塔用、排水</w:t>
      </w:r>
    </w:p>
    <w:p>
      <w:pPr>
        <w:ind w:firstLine="480"/>
        <w:rPr>
          <w:rFonts w:cs="Times New Roman"/>
          <w:color w:val="auto"/>
          <w:kern w:val="0"/>
          <w:szCs w:val="24"/>
        </w:rPr>
      </w:pPr>
      <w:r>
        <w:rPr>
          <w:rFonts w:hint="eastAsia" w:cs="Times New Roman"/>
          <w:color w:val="auto"/>
          <w:kern w:val="0"/>
          <w:szCs w:val="24"/>
        </w:rPr>
        <w:t>根据建设单位提供资料</w:t>
      </w:r>
      <w:r>
        <w:rPr>
          <w:rFonts w:cs="Times New Roman"/>
          <w:color w:val="auto"/>
          <w:kern w:val="0"/>
          <w:szCs w:val="24"/>
        </w:rPr>
        <w:t>，本项目喷淋塔新鲜补水量为315.7m</w:t>
      </w:r>
      <w:r>
        <w:rPr>
          <w:rFonts w:cs="Times New Roman"/>
          <w:color w:val="auto"/>
          <w:kern w:val="0"/>
          <w:szCs w:val="24"/>
          <w:vertAlign w:val="superscript"/>
        </w:rPr>
        <w:t>3</w:t>
      </w:r>
      <w:r>
        <w:rPr>
          <w:rFonts w:cs="Times New Roman"/>
          <w:color w:val="auto"/>
          <w:kern w:val="0"/>
          <w:szCs w:val="24"/>
        </w:rPr>
        <w:t>/a，更换的喷淋塔废水</w:t>
      </w:r>
      <w:r>
        <w:rPr>
          <w:rFonts w:cs="Times New Roman"/>
          <w:bCs/>
          <w:color w:val="auto"/>
          <w:szCs w:val="24"/>
        </w:rPr>
        <w:t>近期达到茂名华清水务有限公司的进水标准通过槽罐车外运至茂名华清水务有限公司处理，</w:t>
      </w:r>
      <w:r>
        <w:rPr>
          <w:rFonts w:cs="Times New Roman"/>
          <w:color w:val="auto"/>
          <w:szCs w:val="24"/>
        </w:rPr>
        <w:t>远期待电白新材料产业园区污水处理厂建设完成后，进入园区污水处理厂处理</w:t>
      </w:r>
      <w:r>
        <w:rPr>
          <w:rFonts w:cs="Times New Roman"/>
          <w:color w:val="auto"/>
          <w:kern w:val="0"/>
          <w:szCs w:val="24"/>
        </w:rPr>
        <w:t>。</w:t>
      </w:r>
    </w:p>
    <w:p>
      <w:pPr>
        <w:ind w:firstLine="480"/>
        <w:rPr>
          <w:rFonts w:cs="Times New Roman"/>
          <w:color w:val="auto"/>
          <w:szCs w:val="24"/>
        </w:rPr>
      </w:pPr>
      <w:r>
        <w:rPr>
          <w:rFonts w:ascii="Cambria Math" w:hAnsi="Cambria Math" w:cs="Cambria Math"/>
          <w:color w:val="auto"/>
          <w:kern w:val="0"/>
          <w:szCs w:val="24"/>
        </w:rPr>
        <w:t>⑥</w:t>
      </w:r>
      <w:r>
        <w:rPr>
          <w:rFonts w:cs="Times New Roman"/>
          <w:color w:val="auto"/>
          <w:szCs w:val="24"/>
        </w:rPr>
        <w:t>水帘柜用、排水</w:t>
      </w:r>
    </w:p>
    <w:p>
      <w:pPr>
        <w:ind w:firstLine="480"/>
        <w:rPr>
          <w:rFonts w:cs="Times New Roman"/>
          <w:color w:val="auto"/>
          <w:kern w:val="0"/>
          <w:szCs w:val="24"/>
        </w:rPr>
      </w:pPr>
      <w:r>
        <w:rPr>
          <w:rFonts w:hint="eastAsia" w:cs="Times New Roman"/>
          <w:color w:val="auto"/>
          <w:kern w:val="0"/>
          <w:szCs w:val="24"/>
        </w:rPr>
        <w:t>根据建设单位提供资料</w:t>
      </w:r>
      <w:r>
        <w:rPr>
          <w:rFonts w:cs="Times New Roman"/>
          <w:color w:val="auto"/>
          <w:kern w:val="0"/>
          <w:szCs w:val="24"/>
        </w:rPr>
        <w:t>，本项目水帘柜新鲜补水量为506.37m</w:t>
      </w:r>
      <w:r>
        <w:rPr>
          <w:rFonts w:cs="Times New Roman"/>
          <w:color w:val="auto"/>
          <w:kern w:val="0"/>
          <w:szCs w:val="24"/>
          <w:vertAlign w:val="superscript"/>
        </w:rPr>
        <w:t>3</w:t>
      </w:r>
      <w:r>
        <w:rPr>
          <w:rFonts w:cs="Times New Roman"/>
          <w:color w:val="auto"/>
          <w:kern w:val="0"/>
          <w:szCs w:val="24"/>
        </w:rPr>
        <w:t>/a。</w:t>
      </w:r>
      <w:r>
        <w:rPr>
          <w:rFonts w:cs="Times New Roman"/>
          <w:color w:val="auto"/>
          <w:szCs w:val="24"/>
        </w:rPr>
        <w:t>更换的水帘柜废水</w:t>
      </w:r>
      <w:r>
        <w:rPr>
          <w:rFonts w:cs="Times New Roman"/>
          <w:bCs/>
          <w:color w:val="auto"/>
          <w:szCs w:val="24"/>
        </w:rPr>
        <w:t>近期达到茂名华清水务有限公司的进水标准通过槽罐车外运至茂名华清水务有限公司处理，</w:t>
      </w:r>
      <w:r>
        <w:rPr>
          <w:rFonts w:cs="Times New Roman"/>
          <w:color w:val="auto"/>
          <w:szCs w:val="24"/>
        </w:rPr>
        <w:t>远期待电白新材料产业园区污水处理厂建设完成后，进入园区污水处理厂处理</w:t>
      </w:r>
      <w:r>
        <w:rPr>
          <w:rFonts w:cs="Times New Roman"/>
          <w:color w:val="auto"/>
          <w:kern w:val="0"/>
          <w:szCs w:val="24"/>
        </w:rPr>
        <w:t>。</w:t>
      </w:r>
    </w:p>
    <w:p>
      <w:pPr>
        <w:ind w:firstLine="480"/>
        <w:rPr>
          <w:rFonts w:cs="Times New Roman"/>
          <w:color w:val="auto"/>
          <w:szCs w:val="24"/>
        </w:rPr>
      </w:pPr>
      <w:r>
        <w:rPr>
          <w:rFonts w:cs="Times New Roman"/>
          <w:color w:val="auto"/>
          <w:szCs w:val="24"/>
        </w:rPr>
        <w:t>根据建设单位提供的资料，验收期间水平衡图见下图。</w:t>
      </w:r>
    </w:p>
    <w:p>
      <w:pPr>
        <w:spacing w:line="240" w:lineRule="auto"/>
        <w:ind w:firstLine="480" w:firstLineChars="0"/>
        <w:rPr>
          <w:rFonts w:cs="Times New Roman"/>
          <w:color w:val="auto"/>
          <w:sz w:val="21"/>
          <w:szCs w:val="21"/>
        </w:rPr>
      </w:pPr>
      <w:r>
        <w:rPr>
          <w:rFonts w:hint="eastAsia" w:cs="Times New Roman"/>
          <w:color w:val="auto"/>
          <w:sz w:val="21"/>
          <w:szCs w:val="21"/>
        </w:rPr>
        <w:drawing>
          <wp:inline distT="0" distB="0" distL="114300" distR="114300">
            <wp:extent cx="5225415" cy="5866765"/>
            <wp:effectExtent l="0" t="0" r="10160" b="5715"/>
            <wp:docPr id="6" name="图片 6" descr="茂名电白富临门水平衡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茂名电白富临门水平衡图"/>
                    <pic:cNvPicPr>
                      <a:picLocks noChangeAspect="1"/>
                    </pic:cNvPicPr>
                  </pic:nvPicPr>
                  <pic:blipFill>
                    <a:blip r:embed="rId16"/>
                    <a:stretch>
                      <a:fillRect/>
                    </a:stretch>
                  </pic:blipFill>
                  <pic:spPr>
                    <a:xfrm>
                      <a:off x="0" y="0"/>
                      <a:ext cx="5225415" cy="5866765"/>
                    </a:xfrm>
                    <a:prstGeom prst="rect">
                      <a:avLst/>
                    </a:prstGeom>
                  </pic:spPr>
                </pic:pic>
              </a:graphicData>
            </a:graphic>
          </wp:inline>
        </w:drawing>
      </w:r>
    </w:p>
    <w:p>
      <w:pPr>
        <w:pStyle w:val="37"/>
        <w:rPr>
          <w:color w:val="auto"/>
        </w:rPr>
      </w:pPr>
      <w:r>
        <w:rPr>
          <w:rFonts w:hint="eastAsia"/>
          <w:color w:val="auto"/>
        </w:rPr>
        <w:t>图3.5-1</w:t>
      </w:r>
      <w:r>
        <w:rPr>
          <w:color w:val="auto"/>
        </w:rPr>
        <w:t xml:space="preserve">  </w:t>
      </w:r>
      <w:r>
        <w:rPr>
          <w:rFonts w:hint="eastAsia"/>
          <w:color w:val="auto"/>
        </w:rPr>
        <w:t xml:space="preserve">水平衡图 </w:t>
      </w:r>
      <w:r>
        <w:rPr>
          <w:color w:val="auto"/>
        </w:rPr>
        <w:t xml:space="preserve"> </w:t>
      </w:r>
      <w:r>
        <w:rPr>
          <w:rFonts w:hint="eastAsia"/>
          <w:color w:val="auto"/>
        </w:rPr>
        <w:t>单位：t</w:t>
      </w:r>
      <w:r>
        <w:rPr>
          <w:color w:val="auto"/>
        </w:rPr>
        <w:t>/</w:t>
      </w:r>
      <w:r>
        <w:rPr>
          <w:rFonts w:hint="eastAsia"/>
          <w:color w:val="auto"/>
        </w:rPr>
        <w:t>a</w:t>
      </w:r>
    </w:p>
    <w:p>
      <w:pPr>
        <w:pStyle w:val="37"/>
        <w:rPr>
          <w:color w:val="auto"/>
          <w:highlight w:val="yellow"/>
        </w:rPr>
        <w:sectPr>
          <w:pgSz w:w="11906" w:h="16838"/>
          <w:pgMar w:top="1440" w:right="1800" w:bottom="1440" w:left="1800" w:header="851" w:footer="992" w:gutter="0"/>
          <w:cols w:space="425" w:num="1"/>
          <w:docGrid w:type="lines" w:linePitch="312" w:charSpace="0"/>
        </w:sectPr>
      </w:pPr>
    </w:p>
    <w:p>
      <w:pPr>
        <w:pStyle w:val="3"/>
        <w:numPr>
          <w:ilvl w:val="0"/>
          <w:numId w:val="0"/>
        </w:numPr>
        <w:rPr>
          <w:color w:val="auto"/>
        </w:rPr>
      </w:pPr>
      <w:bookmarkStart w:id="24" w:name="_Toc4781"/>
      <w:r>
        <w:rPr>
          <w:rFonts w:hint="eastAsia"/>
          <w:color w:val="auto"/>
        </w:rPr>
        <w:t>3.6 生产工艺</w:t>
      </w:r>
      <w:bookmarkEnd w:id="24"/>
    </w:p>
    <w:p>
      <w:pPr>
        <w:spacing w:line="240" w:lineRule="auto"/>
        <w:ind w:firstLine="480" w:firstLineChars="0"/>
        <w:rPr>
          <w:rFonts w:cs="Times New Roman"/>
          <w:color w:val="auto"/>
          <w:sz w:val="21"/>
          <w:szCs w:val="21"/>
        </w:rPr>
      </w:pPr>
      <w:r>
        <w:rPr>
          <w:rFonts w:hint="eastAsia" w:cs="Times New Roman"/>
          <w:color w:val="auto"/>
          <w:sz w:val="21"/>
          <w:szCs w:val="21"/>
        </w:rPr>
        <w:drawing>
          <wp:inline distT="0" distB="0" distL="114300" distR="114300">
            <wp:extent cx="4597400" cy="8267700"/>
            <wp:effectExtent l="0" t="0" r="1270" b="1270"/>
            <wp:docPr id="7" name="图片 7" descr="富临不锈钢门厂工艺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富临不锈钢门厂工艺流程图"/>
                    <pic:cNvPicPr>
                      <a:picLocks noChangeAspect="1"/>
                    </pic:cNvPicPr>
                  </pic:nvPicPr>
                  <pic:blipFill>
                    <a:blip r:embed="rId17"/>
                    <a:stretch>
                      <a:fillRect/>
                    </a:stretch>
                  </pic:blipFill>
                  <pic:spPr>
                    <a:xfrm>
                      <a:off x="0" y="0"/>
                      <a:ext cx="4597400" cy="8267700"/>
                    </a:xfrm>
                    <a:prstGeom prst="rect">
                      <a:avLst/>
                    </a:prstGeom>
                  </pic:spPr>
                </pic:pic>
              </a:graphicData>
            </a:graphic>
          </wp:inline>
        </w:drawing>
      </w:r>
    </w:p>
    <w:p>
      <w:pPr>
        <w:pStyle w:val="37"/>
        <w:rPr>
          <w:color w:val="auto"/>
          <w:highlight w:val="yellow"/>
        </w:rPr>
      </w:pPr>
      <w:r>
        <w:rPr>
          <w:rFonts w:hint="eastAsia"/>
          <w:color w:val="auto"/>
        </w:rPr>
        <w:t>图3.6-1 不锈钢烤漆大门生产工艺流程及产污环节图</w:t>
      </w:r>
    </w:p>
    <w:p>
      <w:pPr>
        <w:pStyle w:val="37"/>
        <w:rPr>
          <w:color w:val="auto"/>
          <w:highlight w:val="yellow"/>
        </w:rPr>
        <w:sectPr>
          <w:pgSz w:w="11906" w:h="16838"/>
          <w:pgMar w:top="1440" w:right="1800" w:bottom="1440" w:left="1800" w:header="851" w:footer="992" w:gutter="0"/>
          <w:cols w:space="425" w:num="1"/>
          <w:docGrid w:type="lines" w:linePitch="326" w:charSpace="0"/>
        </w:sectPr>
      </w:pPr>
    </w:p>
    <w:p>
      <w:pPr>
        <w:adjustRightInd w:val="0"/>
        <w:snapToGrid w:val="0"/>
        <w:ind w:firstLine="482"/>
        <w:rPr>
          <w:rFonts w:cs="Times New Roman"/>
          <w:b/>
          <w:bCs/>
          <w:color w:val="auto"/>
        </w:rPr>
      </w:pPr>
      <w:r>
        <w:rPr>
          <w:rFonts w:hint="eastAsia" w:cs="Times New Roman"/>
          <w:b/>
          <w:bCs/>
          <w:color w:val="auto"/>
        </w:rPr>
        <w:t>工艺流程简述：</w:t>
      </w:r>
    </w:p>
    <w:p>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80"/>
        <w:rPr>
          <w:rFonts w:cs="Times New Roman"/>
          <w:color w:val="auto"/>
          <w:kern w:val="0"/>
          <w:szCs w:val="24"/>
        </w:rPr>
      </w:pPr>
      <w:r>
        <w:rPr>
          <w:rFonts w:hint="eastAsia" w:ascii="宋体" w:hAnsi="宋体" w:cs="宋体"/>
          <w:color w:val="auto"/>
          <w:kern w:val="0"/>
          <w:szCs w:val="24"/>
        </w:rPr>
        <w:t>（</w:t>
      </w:r>
      <w:r>
        <w:rPr>
          <w:rFonts w:cs="Times New Roman"/>
          <w:color w:val="auto"/>
          <w:kern w:val="0"/>
          <w:szCs w:val="24"/>
        </w:rPr>
        <w:t>1</w:t>
      </w:r>
      <w:r>
        <w:rPr>
          <w:rFonts w:ascii="宋体" w:hAnsi="宋体" w:cs="Times New Roman"/>
          <w:color w:val="auto"/>
          <w:kern w:val="0"/>
          <w:szCs w:val="24"/>
        </w:rPr>
        <w:t>）</w:t>
      </w:r>
      <w:r>
        <w:rPr>
          <w:rFonts w:hint="eastAsia" w:ascii="宋体" w:hAnsi="宋体" w:cs="Times New Roman"/>
          <w:color w:val="auto"/>
          <w:kern w:val="0"/>
          <w:szCs w:val="24"/>
        </w:rPr>
        <w:t>开</w:t>
      </w:r>
      <w:r>
        <w:rPr>
          <w:rFonts w:ascii="宋体" w:hAnsi="宋体" w:cs="Times New Roman"/>
          <w:color w:val="auto"/>
          <w:kern w:val="0"/>
          <w:szCs w:val="24"/>
        </w:rPr>
        <w:t>料：</w:t>
      </w:r>
      <w:r>
        <w:rPr>
          <w:rFonts w:hint="eastAsia" w:ascii="宋体" w:hAnsi="宋体" w:cs="Times New Roman"/>
          <w:color w:val="auto"/>
          <w:kern w:val="0"/>
          <w:szCs w:val="24"/>
        </w:rPr>
        <w:t>外购的不锈钢卷带、铝材使用剪板机、激光切割机按照特定的设计进行剪板、切割下料</w:t>
      </w:r>
      <w:r>
        <w:rPr>
          <w:rFonts w:ascii="宋体" w:hAnsi="宋体" w:cs="Times New Roman"/>
          <w:color w:val="auto"/>
          <w:kern w:val="0"/>
          <w:szCs w:val="24"/>
        </w:rPr>
        <w:t>。</w:t>
      </w:r>
      <w:r>
        <w:rPr>
          <w:rFonts w:hint="eastAsia" w:ascii="宋体" w:hAnsi="宋体" w:cs="Times New Roman"/>
          <w:color w:val="auto"/>
          <w:kern w:val="0"/>
          <w:szCs w:val="24"/>
        </w:rPr>
        <w:t>剪板机利用液压系统产生巨大直线推力完成剪切。</w:t>
      </w:r>
      <w:r>
        <w:rPr>
          <w:rFonts w:ascii="宋体" w:hAnsi="宋体" w:cs="Times New Roman"/>
          <w:color w:val="auto"/>
          <w:kern w:val="0"/>
          <w:szCs w:val="24"/>
        </w:rPr>
        <w:t>该工序</w:t>
      </w:r>
      <w:r>
        <w:rPr>
          <w:rFonts w:hint="eastAsia" w:ascii="宋体" w:hAnsi="宋体" w:cs="Times New Roman"/>
          <w:color w:val="auto"/>
          <w:kern w:val="0"/>
          <w:szCs w:val="24"/>
        </w:rPr>
        <w:t>会</w:t>
      </w:r>
      <w:r>
        <w:rPr>
          <w:rFonts w:ascii="宋体" w:hAnsi="宋体" w:cs="Times New Roman"/>
          <w:color w:val="auto"/>
          <w:kern w:val="0"/>
          <w:szCs w:val="24"/>
        </w:rPr>
        <w:t>产生</w:t>
      </w:r>
      <w:r>
        <w:rPr>
          <w:rFonts w:hint="eastAsia" w:ascii="宋体" w:hAnsi="宋体" w:cs="Times New Roman"/>
          <w:color w:val="auto"/>
          <w:kern w:val="0"/>
          <w:szCs w:val="24"/>
        </w:rPr>
        <w:t>粉尘、废液压油、</w:t>
      </w:r>
      <w:r>
        <w:rPr>
          <w:rFonts w:ascii="宋体" w:hAnsi="宋体" w:cs="Times New Roman"/>
          <w:color w:val="auto"/>
          <w:kern w:val="0"/>
          <w:szCs w:val="24"/>
        </w:rPr>
        <w:t>边角料</w:t>
      </w:r>
      <w:r>
        <w:rPr>
          <w:rFonts w:hint="eastAsia" w:ascii="宋体" w:hAnsi="宋体" w:cs="Times New Roman"/>
          <w:color w:val="auto"/>
          <w:kern w:val="0"/>
          <w:szCs w:val="24"/>
        </w:rPr>
        <w:t>、废包装桶、噪声</w:t>
      </w:r>
      <w:r>
        <w:rPr>
          <w:rFonts w:ascii="宋体" w:hAnsi="宋体" w:cs="Times New Roman"/>
          <w:color w:val="auto"/>
          <w:kern w:val="0"/>
          <w:szCs w:val="24"/>
        </w:rPr>
        <w:t>。</w:t>
      </w:r>
    </w:p>
    <w:p>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80"/>
        <w:rPr>
          <w:rFonts w:cs="Times New Roman"/>
          <w:color w:val="auto"/>
          <w:kern w:val="0"/>
          <w:szCs w:val="24"/>
        </w:rPr>
      </w:pPr>
      <w:r>
        <w:rPr>
          <w:rFonts w:ascii="宋体" w:hAnsi="宋体" w:cs="Times New Roman"/>
          <w:color w:val="auto"/>
          <w:kern w:val="0"/>
          <w:szCs w:val="24"/>
        </w:rPr>
        <w:t>（</w:t>
      </w:r>
      <w:r>
        <w:rPr>
          <w:rFonts w:cs="Times New Roman"/>
          <w:color w:val="auto"/>
          <w:kern w:val="0"/>
          <w:szCs w:val="24"/>
        </w:rPr>
        <w:t>2</w:t>
      </w:r>
      <w:r>
        <w:rPr>
          <w:rFonts w:ascii="宋体" w:hAnsi="宋体" w:cs="Times New Roman"/>
          <w:color w:val="auto"/>
          <w:kern w:val="0"/>
          <w:szCs w:val="24"/>
        </w:rPr>
        <w:t>）</w:t>
      </w:r>
      <w:r>
        <w:rPr>
          <w:rFonts w:hint="eastAsia" w:ascii="宋体" w:hAnsi="宋体" w:cs="Times New Roman"/>
          <w:color w:val="auto"/>
          <w:kern w:val="0"/>
          <w:szCs w:val="24"/>
        </w:rPr>
        <w:t>刨槽</w:t>
      </w:r>
      <w:r>
        <w:rPr>
          <w:rFonts w:ascii="宋体" w:hAnsi="宋体" w:cs="Times New Roman"/>
          <w:color w:val="auto"/>
          <w:kern w:val="0"/>
          <w:szCs w:val="24"/>
        </w:rPr>
        <w:t>：</w:t>
      </w:r>
      <w:r>
        <w:rPr>
          <w:rFonts w:hint="eastAsia" w:ascii="宋体" w:hAnsi="宋体" w:cs="Times New Roman"/>
          <w:color w:val="auto"/>
          <w:kern w:val="0"/>
          <w:szCs w:val="24"/>
        </w:rPr>
        <w:t>在需要折弯的位置背面通过刨槽机刨削出一条</w:t>
      </w:r>
      <w:r>
        <w:rPr>
          <w:rFonts w:hint="eastAsia" w:cs="Times New Roman"/>
          <w:color w:val="auto"/>
          <w:kern w:val="0"/>
          <w:szCs w:val="24"/>
        </w:rPr>
        <w:t>V</w:t>
      </w:r>
      <w:r>
        <w:rPr>
          <w:rFonts w:hint="eastAsia" w:ascii="宋体" w:hAnsi="宋体" w:cs="Times New Roman"/>
          <w:color w:val="auto"/>
          <w:kern w:val="0"/>
          <w:szCs w:val="24"/>
        </w:rPr>
        <w:t>型槽</w:t>
      </w:r>
      <w:r>
        <w:rPr>
          <w:rFonts w:ascii="宋体" w:hAnsi="宋体" w:cs="Times New Roman"/>
          <w:color w:val="auto"/>
          <w:kern w:val="0"/>
          <w:szCs w:val="24"/>
        </w:rPr>
        <w:t>。</w:t>
      </w:r>
      <w:r>
        <w:rPr>
          <w:rFonts w:hint="eastAsia" w:ascii="宋体" w:hAnsi="宋体" w:cs="Times New Roman"/>
          <w:color w:val="auto"/>
          <w:kern w:val="0"/>
          <w:szCs w:val="24"/>
        </w:rPr>
        <w:t>该工序会产生</w:t>
      </w:r>
      <w:r>
        <w:rPr>
          <w:rFonts w:ascii="宋体" w:hAnsi="宋体" w:cs="Times New Roman"/>
          <w:color w:val="auto"/>
          <w:kern w:val="0"/>
          <w:szCs w:val="24"/>
        </w:rPr>
        <w:t>边角料</w:t>
      </w:r>
      <w:r>
        <w:rPr>
          <w:rFonts w:hint="eastAsia" w:ascii="宋体" w:hAnsi="宋体" w:cs="Times New Roman"/>
          <w:color w:val="auto"/>
          <w:kern w:val="0"/>
          <w:szCs w:val="24"/>
        </w:rPr>
        <w:t>、噪声。</w:t>
      </w:r>
    </w:p>
    <w:p>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80"/>
        <w:rPr>
          <w:rFonts w:cs="Times New Roman"/>
          <w:color w:val="auto"/>
          <w:kern w:val="0"/>
          <w:szCs w:val="24"/>
        </w:rPr>
      </w:pPr>
      <w:r>
        <w:rPr>
          <w:rFonts w:ascii="宋体" w:hAnsi="宋体" w:cs="Times New Roman"/>
          <w:color w:val="auto"/>
          <w:kern w:val="0"/>
          <w:szCs w:val="24"/>
        </w:rPr>
        <w:t>（</w:t>
      </w:r>
      <w:r>
        <w:rPr>
          <w:rFonts w:cs="Times New Roman"/>
          <w:color w:val="auto"/>
          <w:kern w:val="0"/>
          <w:szCs w:val="24"/>
        </w:rPr>
        <w:t>3</w:t>
      </w:r>
      <w:r>
        <w:rPr>
          <w:rFonts w:ascii="宋体" w:hAnsi="宋体" w:cs="Times New Roman"/>
          <w:color w:val="auto"/>
          <w:kern w:val="0"/>
          <w:szCs w:val="24"/>
        </w:rPr>
        <w:t>）</w:t>
      </w:r>
      <w:r>
        <w:rPr>
          <w:rFonts w:hint="eastAsia" w:ascii="宋体" w:hAnsi="宋体" w:cs="Times New Roman"/>
          <w:color w:val="auto"/>
          <w:kern w:val="0"/>
          <w:szCs w:val="24"/>
        </w:rPr>
        <w:t>折弯</w:t>
      </w:r>
      <w:r>
        <w:rPr>
          <w:rFonts w:ascii="宋体" w:hAnsi="宋体" w:cs="Times New Roman"/>
          <w:color w:val="auto"/>
          <w:kern w:val="0"/>
          <w:szCs w:val="24"/>
        </w:rPr>
        <w:t>：</w:t>
      </w:r>
      <w:r>
        <w:rPr>
          <w:rFonts w:hint="eastAsia" w:ascii="宋体" w:hAnsi="宋体" w:cs="Times New Roman"/>
          <w:color w:val="auto"/>
          <w:kern w:val="0"/>
          <w:szCs w:val="24"/>
        </w:rPr>
        <w:t>使用开平机消除板材内应力，矫正平面度，做成平整板材，再通过折弯机沿刨槽线进行角度折弯成型</w:t>
      </w:r>
      <w:r>
        <w:rPr>
          <w:rFonts w:ascii="宋体" w:hAnsi="宋体" w:cs="Times New Roman"/>
          <w:color w:val="auto"/>
          <w:kern w:val="0"/>
          <w:szCs w:val="24"/>
        </w:rPr>
        <w:t>。</w:t>
      </w:r>
      <w:r>
        <w:rPr>
          <w:rFonts w:hint="eastAsia" w:ascii="宋体" w:hAnsi="宋体" w:cs="Times New Roman"/>
          <w:color w:val="auto"/>
          <w:kern w:val="0"/>
          <w:szCs w:val="24"/>
        </w:rPr>
        <w:t>折弯机利用液压系统高效传力进行折弯。该工序会产生废液压油、</w:t>
      </w:r>
      <w:r>
        <w:rPr>
          <w:rFonts w:ascii="宋体" w:hAnsi="宋体" w:cs="Times New Roman"/>
          <w:color w:val="auto"/>
          <w:kern w:val="0"/>
          <w:szCs w:val="24"/>
        </w:rPr>
        <w:t>边角料</w:t>
      </w:r>
      <w:r>
        <w:rPr>
          <w:rFonts w:hint="eastAsia" w:ascii="宋体" w:hAnsi="宋体" w:cs="Times New Roman"/>
          <w:color w:val="auto"/>
          <w:kern w:val="0"/>
          <w:szCs w:val="24"/>
        </w:rPr>
        <w:t>、废包装桶、噪声。</w:t>
      </w:r>
    </w:p>
    <w:p>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80"/>
        <w:rPr>
          <w:rFonts w:cs="Times New Roman"/>
          <w:color w:val="auto"/>
          <w:kern w:val="0"/>
          <w:szCs w:val="24"/>
        </w:rPr>
      </w:pPr>
      <w:r>
        <w:rPr>
          <w:rFonts w:ascii="宋体" w:hAnsi="宋体" w:cs="Times New Roman"/>
          <w:color w:val="auto"/>
          <w:kern w:val="0"/>
          <w:szCs w:val="24"/>
        </w:rPr>
        <w:t>（</w:t>
      </w:r>
      <w:r>
        <w:rPr>
          <w:rFonts w:cs="Times New Roman"/>
          <w:color w:val="auto"/>
          <w:kern w:val="0"/>
          <w:szCs w:val="24"/>
        </w:rPr>
        <w:t>4</w:t>
      </w:r>
      <w:r>
        <w:rPr>
          <w:rFonts w:ascii="宋体" w:hAnsi="宋体" w:cs="Times New Roman"/>
          <w:color w:val="auto"/>
          <w:kern w:val="0"/>
          <w:szCs w:val="24"/>
        </w:rPr>
        <w:t>）</w:t>
      </w:r>
      <w:r>
        <w:rPr>
          <w:rFonts w:hint="eastAsia" w:ascii="宋体" w:hAnsi="宋体" w:cs="Times New Roman"/>
          <w:color w:val="auto"/>
          <w:kern w:val="0"/>
          <w:szCs w:val="24"/>
        </w:rPr>
        <w:t>冲孔</w:t>
      </w:r>
      <w:r>
        <w:rPr>
          <w:rFonts w:ascii="宋体" w:hAnsi="宋体" w:cs="Times New Roman"/>
          <w:color w:val="auto"/>
          <w:kern w:val="0"/>
          <w:szCs w:val="24"/>
        </w:rPr>
        <w:t>：</w:t>
      </w:r>
      <w:r>
        <w:rPr>
          <w:rFonts w:hint="eastAsia" w:ascii="宋体" w:hAnsi="宋体" w:cs="Times New Roman"/>
          <w:color w:val="auto"/>
          <w:kern w:val="0"/>
          <w:szCs w:val="24"/>
        </w:rPr>
        <w:t>使用冲床对板材冲孔，包括锁孔、合页孔、插销孔等</w:t>
      </w:r>
      <w:r>
        <w:rPr>
          <w:rFonts w:ascii="宋体" w:hAnsi="宋体" w:cs="Times New Roman"/>
          <w:color w:val="auto"/>
          <w:kern w:val="0"/>
          <w:szCs w:val="24"/>
        </w:rPr>
        <w:t>。</w:t>
      </w:r>
      <w:r>
        <w:rPr>
          <w:rFonts w:hint="eastAsia" w:ascii="宋体" w:hAnsi="宋体" w:cs="Times New Roman"/>
          <w:color w:val="auto"/>
          <w:kern w:val="0"/>
          <w:szCs w:val="24"/>
        </w:rPr>
        <w:t>冲床是利用液压油传递压力实现不锈钢板材冲孔成型。冲孔后需要使用线割机进行修边，线割机使用乳化油进行润滑和冷却。该工序会产生有机废气、边角料、沾有乳化油的金属碎屑、废乳化油、废液压油、废包装桶、噪声。</w:t>
      </w:r>
    </w:p>
    <w:p>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80"/>
        <w:rPr>
          <w:rFonts w:cs="Times New Roman"/>
          <w:color w:val="auto"/>
          <w:kern w:val="0"/>
          <w:szCs w:val="24"/>
        </w:rPr>
      </w:pPr>
      <w:r>
        <w:rPr>
          <w:rFonts w:hint="eastAsia" w:ascii="宋体" w:hAnsi="宋体" w:cs="Times New Roman"/>
          <w:color w:val="auto"/>
          <w:kern w:val="0"/>
          <w:szCs w:val="24"/>
        </w:rPr>
        <w:t>（</w:t>
      </w:r>
      <w:r>
        <w:rPr>
          <w:rFonts w:hint="eastAsia" w:cs="Times New Roman"/>
          <w:color w:val="auto"/>
          <w:kern w:val="0"/>
          <w:szCs w:val="24"/>
        </w:rPr>
        <w:t>5</w:t>
      </w:r>
      <w:r>
        <w:rPr>
          <w:rFonts w:hint="eastAsia" w:ascii="宋体" w:hAnsi="宋体" w:cs="Times New Roman"/>
          <w:color w:val="auto"/>
          <w:kern w:val="0"/>
          <w:szCs w:val="24"/>
        </w:rPr>
        <w:t>）焊框：折弯及冲孔后的部件</w:t>
      </w:r>
      <w:r>
        <w:rPr>
          <w:rFonts w:hint="eastAsia" w:ascii="宋体" w:hAnsi="宋体" w:cs="宋体"/>
          <w:color w:val="auto"/>
          <w:kern w:val="0"/>
          <w:szCs w:val="24"/>
        </w:rPr>
        <w:t>使用氩弧焊机焊接成门扇框架、门框。</w:t>
      </w:r>
      <w:r>
        <w:rPr>
          <w:rFonts w:ascii="宋体" w:hAnsi="宋体" w:cs="Times New Roman"/>
          <w:color w:val="auto"/>
          <w:kern w:val="0"/>
          <w:szCs w:val="24"/>
        </w:rPr>
        <w:t>该工序产生</w:t>
      </w:r>
      <w:r>
        <w:rPr>
          <w:rFonts w:hint="eastAsia" w:ascii="宋体" w:hAnsi="宋体" w:cs="Times New Roman"/>
          <w:color w:val="auto"/>
          <w:kern w:val="0"/>
          <w:szCs w:val="24"/>
        </w:rPr>
        <w:t>焊接烟尘、焊渣、噪声。</w:t>
      </w:r>
      <w:r>
        <w:rPr>
          <w:rFonts w:hint="eastAsia" w:cs="Times New Roman"/>
          <w:color w:val="auto"/>
          <w:kern w:val="0"/>
          <w:szCs w:val="24"/>
        </w:rPr>
        <w:t xml:space="preserve"> </w:t>
      </w:r>
    </w:p>
    <w:p>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80"/>
        <w:rPr>
          <w:rFonts w:cs="Times New Roman"/>
          <w:color w:val="auto"/>
          <w:kern w:val="0"/>
          <w:szCs w:val="24"/>
        </w:rPr>
      </w:pPr>
      <w:r>
        <w:rPr>
          <w:rFonts w:ascii="宋体" w:hAnsi="宋体" w:cs="Times New Roman"/>
          <w:color w:val="auto"/>
          <w:kern w:val="0"/>
          <w:szCs w:val="24"/>
        </w:rPr>
        <w:t>（</w:t>
      </w:r>
      <w:r>
        <w:rPr>
          <w:rFonts w:hint="eastAsia" w:cs="Times New Roman"/>
          <w:color w:val="auto"/>
          <w:kern w:val="0"/>
          <w:szCs w:val="24"/>
        </w:rPr>
        <w:t>6</w:t>
      </w:r>
      <w:r>
        <w:rPr>
          <w:rFonts w:ascii="宋体" w:hAnsi="宋体" w:cs="Times New Roman"/>
          <w:color w:val="auto"/>
          <w:kern w:val="0"/>
          <w:szCs w:val="24"/>
        </w:rPr>
        <w:t>）</w:t>
      </w:r>
      <w:r>
        <w:rPr>
          <w:rFonts w:hint="eastAsia" w:ascii="宋体" w:hAnsi="宋体" w:cs="Times New Roman"/>
          <w:color w:val="auto"/>
          <w:kern w:val="0"/>
          <w:szCs w:val="24"/>
        </w:rPr>
        <w:t>胶合</w:t>
      </w:r>
      <w:r>
        <w:rPr>
          <w:rFonts w:ascii="宋体" w:hAnsi="宋体" w:cs="Times New Roman"/>
          <w:color w:val="auto"/>
          <w:kern w:val="0"/>
          <w:szCs w:val="24"/>
        </w:rPr>
        <w:t>：</w:t>
      </w:r>
      <w:r>
        <w:rPr>
          <w:rFonts w:hint="eastAsia" w:ascii="宋体" w:hAnsi="宋体" w:cs="Times New Roman"/>
          <w:color w:val="auto"/>
          <w:kern w:val="0"/>
          <w:szCs w:val="24"/>
        </w:rPr>
        <w:t>在门扇内部通过人工涂上一层粘合剂，将蜂窝板、蜂窝纸填充进去，然后通过胶合机进行加热固化处理，温度控制在</w:t>
      </w:r>
      <w:r>
        <w:rPr>
          <w:rFonts w:hint="eastAsia" w:cs="Times New Roman"/>
          <w:color w:val="auto"/>
          <w:kern w:val="0"/>
          <w:szCs w:val="24"/>
        </w:rPr>
        <w:t>68</w:t>
      </w:r>
      <w:r>
        <w:rPr>
          <w:rFonts w:hint="eastAsia" w:ascii="宋体" w:hAnsi="宋体" w:cs="Times New Roman"/>
          <w:color w:val="auto"/>
          <w:kern w:val="0"/>
          <w:szCs w:val="24"/>
        </w:rPr>
        <w:t>℃，加热时间为</w:t>
      </w:r>
      <w:r>
        <w:rPr>
          <w:rFonts w:hint="eastAsia" w:cs="Times New Roman"/>
          <w:color w:val="auto"/>
          <w:kern w:val="0"/>
          <w:szCs w:val="24"/>
        </w:rPr>
        <w:t>50</w:t>
      </w:r>
      <w:r>
        <w:rPr>
          <w:rFonts w:hint="eastAsia" w:ascii="宋体" w:hAnsi="宋体" w:cs="Times New Roman"/>
          <w:color w:val="auto"/>
          <w:kern w:val="0"/>
          <w:szCs w:val="24"/>
        </w:rPr>
        <w:t>分钟，使填充物与不锈钢门粘合。胶合机工作原理通过循环热水间接将热量均匀传递至加热板，再传导给胶合板材，使胶水在设定温度下固化，同时通过液压系统驱动压板闭合，对叠放的板材施加高压，确保胶层无气泡、板材间紧密接触。胶合冷却后的板材利用</w:t>
      </w:r>
      <w:r>
        <w:rPr>
          <w:rFonts w:hint="eastAsia" w:ascii="宋体" w:hAnsi="宋体" w:cs="宋体"/>
          <w:color w:val="auto"/>
          <w:kern w:val="0"/>
          <w:szCs w:val="24"/>
        </w:rPr>
        <w:t>氩弧焊机对门框缝及包边进行焊接加固</w:t>
      </w:r>
      <w:r>
        <w:rPr>
          <w:rFonts w:hint="eastAsia" w:ascii="宋体" w:hAnsi="宋体" w:cs="Times New Roman"/>
          <w:color w:val="auto"/>
          <w:kern w:val="0"/>
          <w:szCs w:val="24"/>
        </w:rPr>
        <w:t>，最后利用手磨机去除焊疤、胶痕，实现表面平整。</w:t>
      </w:r>
      <w:r>
        <w:rPr>
          <w:rFonts w:ascii="宋体" w:hAnsi="宋体" w:cs="Times New Roman"/>
          <w:color w:val="auto"/>
          <w:kern w:val="0"/>
          <w:szCs w:val="24"/>
        </w:rPr>
        <w:t>该工序产生</w:t>
      </w:r>
      <w:r>
        <w:rPr>
          <w:rFonts w:hint="eastAsia" w:ascii="宋体" w:hAnsi="宋体" w:cs="Times New Roman"/>
          <w:color w:val="auto"/>
          <w:kern w:val="0"/>
          <w:szCs w:val="24"/>
        </w:rPr>
        <w:t>胶合有机废气、粉尘、焊接烟尘、焊渣、废液压油、废包装桶、噪声。</w:t>
      </w:r>
    </w:p>
    <w:p>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80"/>
        <w:rPr>
          <w:rFonts w:cs="Times New Roman"/>
          <w:color w:val="auto"/>
          <w:kern w:val="0"/>
          <w:szCs w:val="24"/>
        </w:rPr>
      </w:pPr>
      <w:r>
        <w:rPr>
          <w:rFonts w:ascii="宋体" w:hAnsi="宋体" w:cs="Times New Roman"/>
          <w:color w:val="auto"/>
          <w:kern w:val="0"/>
          <w:szCs w:val="24"/>
        </w:rPr>
        <w:t>（</w:t>
      </w:r>
      <w:r>
        <w:rPr>
          <w:rFonts w:hint="eastAsia" w:cs="Times New Roman"/>
          <w:color w:val="auto"/>
          <w:kern w:val="0"/>
          <w:szCs w:val="24"/>
        </w:rPr>
        <w:t>7</w:t>
      </w:r>
      <w:r>
        <w:rPr>
          <w:rFonts w:ascii="宋体" w:hAnsi="宋体" w:cs="Times New Roman"/>
          <w:color w:val="auto"/>
          <w:kern w:val="0"/>
          <w:szCs w:val="24"/>
        </w:rPr>
        <w:t>）</w:t>
      </w:r>
      <w:r>
        <w:rPr>
          <w:rFonts w:hint="eastAsia" w:ascii="宋体" w:hAnsi="宋体" w:cs="Times New Roman"/>
          <w:color w:val="auto"/>
          <w:kern w:val="0"/>
          <w:szCs w:val="24"/>
        </w:rPr>
        <w:t>门扇封花</w:t>
      </w:r>
      <w:r>
        <w:rPr>
          <w:rFonts w:ascii="宋体" w:hAnsi="宋体" w:cs="Times New Roman"/>
          <w:color w:val="auto"/>
          <w:kern w:val="0"/>
          <w:szCs w:val="24"/>
        </w:rPr>
        <w:t>：</w:t>
      </w:r>
      <w:r>
        <w:rPr>
          <w:rFonts w:hint="eastAsia" w:ascii="宋体" w:hAnsi="宋体" w:cs="Times New Roman"/>
          <w:color w:val="auto"/>
          <w:kern w:val="0"/>
          <w:szCs w:val="24"/>
        </w:rPr>
        <w:t>将外购的压花件通过</w:t>
      </w:r>
      <w:r>
        <w:rPr>
          <w:rFonts w:hint="eastAsia" w:ascii="宋体" w:hAnsi="宋体" w:cs="宋体"/>
          <w:color w:val="auto"/>
          <w:kern w:val="0"/>
          <w:szCs w:val="24"/>
        </w:rPr>
        <w:t>氩弧焊机焊接在门扇表面，并通过手磨机打磨实现纹理融合</w:t>
      </w:r>
      <w:r>
        <w:rPr>
          <w:rFonts w:ascii="宋体" w:hAnsi="宋体" w:cs="Times New Roman"/>
          <w:color w:val="auto"/>
          <w:kern w:val="0"/>
          <w:szCs w:val="24"/>
        </w:rPr>
        <w:t>。该工序产生粉尘</w:t>
      </w:r>
      <w:r>
        <w:rPr>
          <w:rFonts w:hint="eastAsia" w:ascii="宋体" w:hAnsi="宋体" w:cs="Times New Roman"/>
          <w:color w:val="auto"/>
          <w:kern w:val="0"/>
          <w:szCs w:val="24"/>
        </w:rPr>
        <w:t>、焊接烟尘、焊渣、噪声</w:t>
      </w:r>
      <w:r>
        <w:rPr>
          <w:rFonts w:ascii="宋体" w:hAnsi="宋体" w:cs="Times New Roman"/>
          <w:color w:val="auto"/>
          <w:kern w:val="0"/>
          <w:szCs w:val="24"/>
        </w:rPr>
        <w:t>。</w:t>
      </w:r>
    </w:p>
    <w:p>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80"/>
        <w:rPr>
          <w:rFonts w:cs="Times New Roman"/>
          <w:color w:val="auto"/>
          <w:kern w:val="0"/>
          <w:szCs w:val="24"/>
        </w:rPr>
      </w:pPr>
      <w:r>
        <w:rPr>
          <w:rFonts w:ascii="宋体" w:hAnsi="宋体" w:cs="Times New Roman"/>
          <w:color w:val="auto"/>
          <w:kern w:val="0"/>
          <w:szCs w:val="24"/>
        </w:rPr>
        <w:t>（</w:t>
      </w:r>
      <w:r>
        <w:rPr>
          <w:rFonts w:hint="eastAsia" w:cs="Times New Roman"/>
          <w:color w:val="auto"/>
          <w:kern w:val="0"/>
          <w:szCs w:val="24"/>
        </w:rPr>
        <w:t>8</w:t>
      </w:r>
      <w:r>
        <w:rPr>
          <w:rFonts w:ascii="宋体" w:hAnsi="宋体" w:cs="Times New Roman"/>
          <w:color w:val="auto"/>
          <w:kern w:val="0"/>
          <w:szCs w:val="24"/>
        </w:rPr>
        <w:t>）</w:t>
      </w:r>
      <w:r>
        <w:rPr>
          <w:rFonts w:hint="eastAsia" w:ascii="宋体" w:hAnsi="宋体" w:cs="Times New Roman"/>
          <w:color w:val="auto"/>
          <w:kern w:val="0"/>
          <w:szCs w:val="24"/>
        </w:rPr>
        <w:t>焊罗马头</w:t>
      </w:r>
      <w:r>
        <w:rPr>
          <w:rFonts w:ascii="宋体" w:hAnsi="宋体" w:cs="Times New Roman"/>
          <w:color w:val="auto"/>
          <w:kern w:val="0"/>
          <w:szCs w:val="24"/>
        </w:rPr>
        <w:t>：</w:t>
      </w:r>
      <w:r>
        <w:rPr>
          <w:rFonts w:hint="eastAsia" w:ascii="宋体" w:hAnsi="宋体" w:cs="Times New Roman"/>
          <w:color w:val="auto"/>
          <w:kern w:val="0"/>
          <w:szCs w:val="24"/>
        </w:rPr>
        <w:t>不锈钢端头利用罗马头滚花机加工装饰性滚花纹路，再通过</w:t>
      </w:r>
      <w:r>
        <w:rPr>
          <w:rFonts w:hint="eastAsia" w:ascii="宋体" w:hAnsi="宋体" w:cs="宋体"/>
          <w:color w:val="auto"/>
          <w:kern w:val="0"/>
          <w:szCs w:val="24"/>
        </w:rPr>
        <w:t>氩弧焊机焊接至门框立柱</w:t>
      </w:r>
      <w:r>
        <w:rPr>
          <w:rFonts w:hint="eastAsia" w:ascii="宋体" w:hAnsi="宋体" w:cs="Times New Roman"/>
          <w:color w:val="auto"/>
          <w:kern w:val="0"/>
          <w:szCs w:val="24"/>
        </w:rPr>
        <w:t>，最后利用手磨机去除焊疤。</w:t>
      </w:r>
      <w:r>
        <w:rPr>
          <w:rFonts w:ascii="宋体" w:hAnsi="宋体" w:cs="Times New Roman"/>
          <w:color w:val="auto"/>
          <w:kern w:val="0"/>
          <w:szCs w:val="24"/>
        </w:rPr>
        <w:t>该工序产生</w:t>
      </w:r>
      <w:r>
        <w:rPr>
          <w:rFonts w:hint="eastAsia" w:ascii="宋体" w:hAnsi="宋体" w:cs="Times New Roman"/>
          <w:color w:val="auto"/>
          <w:kern w:val="0"/>
          <w:szCs w:val="24"/>
        </w:rPr>
        <w:t>粉尘、焊接烟尘、焊渣、噪声</w:t>
      </w:r>
      <w:r>
        <w:rPr>
          <w:rFonts w:ascii="宋体" w:hAnsi="宋体" w:cs="Times New Roman"/>
          <w:color w:val="auto"/>
          <w:kern w:val="0"/>
          <w:szCs w:val="24"/>
        </w:rPr>
        <w:t>。</w:t>
      </w:r>
    </w:p>
    <w:p>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12"/>
        <w:rPr>
          <w:rFonts w:cs="Times New Roman"/>
          <w:color w:val="auto"/>
          <w:kern w:val="0"/>
          <w:szCs w:val="24"/>
        </w:rPr>
      </w:pPr>
      <w:r>
        <w:rPr>
          <w:rFonts w:ascii="宋体" w:hAnsi="宋体" w:cs="Times New Roman"/>
          <w:color w:val="auto"/>
          <w:spacing w:val="8"/>
          <w:kern w:val="0"/>
          <w:szCs w:val="24"/>
        </w:rPr>
        <w:t>（</w:t>
      </w:r>
      <w:r>
        <w:rPr>
          <w:rFonts w:hint="eastAsia" w:cs="Times New Roman"/>
          <w:color w:val="auto"/>
          <w:spacing w:val="8"/>
          <w:kern w:val="0"/>
          <w:szCs w:val="24"/>
        </w:rPr>
        <w:t>9</w:t>
      </w:r>
      <w:r>
        <w:rPr>
          <w:rFonts w:ascii="宋体" w:hAnsi="宋体" w:cs="Times New Roman"/>
          <w:color w:val="auto"/>
          <w:spacing w:val="8"/>
          <w:kern w:val="0"/>
          <w:szCs w:val="24"/>
        </w:rPr>
        <w:t>）</w:t>
      </w:r>
      <w:r>
        <w:rPr>
          <w:rFonts w:hint="eastAsia" w:ascii="宋体" w:hAnsi="宋体" w:cs="Times New Roman"/>
          <w:color w:val="auto"/>
          <w:spacing w:val="8"/>
          <w:kern w:val="0"/>
          <w:szCs w:val="24"/>
        </w:rPr>
        <w:t>打磨</w:t>
      </w:r>
      <w:r>
        <w:rPr>
          <w:rFonts w:ascii="宋体" w:hAnsi="宋体" w:cs="Times New Roman"/>
          <w:color w:val="auto"/>
          <w:spacing w:val="8"/>
          <w:kern w:val="0"/>
          <w:szCs w:val="24"/>
        </w:rPr>
        <w:t>：</w:t>
      </w:r>
      <w:r>
        <w:rPr>
          <w:rFonts w:hint="eastAsia" w:ascii="宋体" w:hAnsi="宋体" w:cs="Times New Roman"/>
          <w:color w:val="auto"/>
          <w:spacing w:val="8"/>
          <w:kern w:val="0"/>
          <w:szCs w:val="24"/>
        </w:rPr>
        <w:t>使用气动打磨机对不锈钢门</w:t>
      </w:r>
      <w:r>
        <w:rPr>
          <w:rFonts w:ascii="Arial" w:hAnsi="Arial" w:cs="Arial"/>
          <w:color w:val="auto"/>
          <w:kern w:val="0"/>
          <w:szCs w:val="24"/>
          <w:shd w:val="clear" w:color="auto" w:fill="FFFFFF"/>
        </w:rPr>
        <w:t>表面</w:t>
      </w:r>
      <w:r>
        <w:rPr>
          <w:rFonts w:hint="eastAsia" w:ascii="宋体" w:hAnsi="宋体" w:cs="Arial"/>
          <w:color w:val="auto"/>
          <w:kern w:val="0"/>
          <w:szCs w:val="24"/>
          <w:shd w:val="clear" w:color="auto" w:fill="FFFFFF"/>
        </w:rPr>
        <w:t>进行</w:t>
      </w:r>
      <w:r>
        <w:rPr>
          <w:rFonts w:ascii="Arial" w:hAnsi="Arial" w:cs="Arial"/>
          <w:color w:val="auto"/>
          <w:kern w:val="0"/>
          <w:szCs w:val="24"/>
          <w:shd w:val="clear" w:color="auto" w:fill="FFFFFF"/>
        </w:rPr>
        <w:t>打磨、抛光、去毛刺和修整等</w:t>
      </w:r>
      <w:r>
        <w:rPr>
          <w:rFonts w:hint="eastAsia" w:ascii="宋体" w:hAnsi="宋体" w:cs="Times New Roman"/>
          <w:color w:val="auto"/>
          <w:spacing w:val="8"/>
          <w:kern w:val="0"/>
          <w:szCs w:val="24"/>
        </w:rPr>
        <w:t>。</w:t>
      </w:r>
      <w:r>
        <w:rPr>
          <w:rFonts w:ascii="宋体" w:hAnsi="宋体" w:cs="Times New Roman"/>
          <w:color w:val="auto"/>
          <w:kern w:val="0"/>
          <w:szCs w:val="24"/>
        </w:rPr>
        <w:t>该工序产生</w:t>
      </w:r>
      <w:r>
        <w:rPr>
          <w:rFonts w:hint="eastAsia" w:ascii="宋体" w:hAnsi="宋体" w:cs="Times New Roman"/>
          <w:color w:val="auto"/>
          <w:kern w:val="0"/>
          <w:szCs w:val="24"/>
        </w:rPr>
        <w:t>粉尘、金属碎屑、噪声</w:t>
      </w:r>
      <w:r>
        <w:rPr>
          <w:rFonts w:ascii="宋体" w:hAnsi="宋体" w:cs="Times New Roman"/>
          <w:color w:val="auto"/>
          <w:kern w:val="0"/>
          <w:szCs w:val="24"/>
        </w:rPr>
        <w:t>。</w:t>
      </w:r>
    </w:p>
    <w:p>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12"/>
        <w:rPr>
          <w:rFonts w:cs="Times New Roman"/>
          <w:color w:val="auto"/>
          <w:spacing w:val="8"/>
          <w:kern w:val="0"/>
          <w:szCs w:val="24"/>
        </w:rPr>
      </w:pPr>
      <w:r>
        <w:rPr>
          <w:rFonts w:ascii="宋体" w:hAnsi="宋体" w:cs="Times New Roman"/>
          <w:color w:val="auto"/>
          <w:spacing w:val="8"/>
          <w:kern w:val="0"/>
          <w:szCs w:val="24"/>
        </w:rPr>
        <w:t>（</w:t>
      </w:r>
      <w:r>
        <w:rPr>
          <w:rFonts w:hint="eastAsia" w:cs="Times New Roman"/>
          <w:color w:val="auto"/>
          <w:spacing w:val="8"/>
          <w:kern w:val="0"/>
          <w:szCs w:val="24"/>
        </w:rPr>
        <w:t>10</w:t>
      </w:r>
      <w:r>
        <w:rPr>
          <w:rFonts w:ascii="宋体" w:hAnsi="宋体" w:cs="Times New Roman"/>
          <w:color w:val="auto"/>
          <w:spacing w:val="8"/>
          <w:kern w:val="0"/>
          <w:szCs w:val="24"/>
        </w:rPr>
        <w:t>）</w:t>
      </w:r>
      <w:r>
        <w:rPr>
          <w:rFonts w:hint="eastAsia" w:ascii="宋体" w:hAnsi="宋体" w:cs="Times New Roman"/>
          <w:color w:val="auto"/>
          <w:spacing w:val="8"/>
          <w:kern w:val="0"/>
          <w:szCs w:val="24"/>
        </w:rPr>
        <w:t>清抹</w:t>
      </w:r>
      <w:r>
        <w:rPr>
          <w:rFonts w:ascii="宋体" w:hAnsi="宋体" w:cs="Times New Roman"/>
          <w:color w:val="auto"/>
          <w:spacing w:val="8"/>
          <w:kern w:val="0"/>
          <w:szCs w:val="24"/>
        </w:rPr>
        <w:t>：</w:t>
      </w:r>
      <w:r>
        <w:rPr>
          <w:rFonts w:hint="eastAsia" w:ascii="宋体" w:hAnsi="宋体" w:cs="Times New Roman"/>
          <w:color w:val="auto"/>
          <w:spacing w:val="8"/>
          <w:kern w:val="0"/>
          <w:szCs w:val="24"/>
        </w:rPr>
        <w:t>使用沾有清洗剂的清抹布对不锈钢门进行清抹。</w:t>
      </w:r>
      <w:r>
        <w:rPr>
          <w:rFonts w:ascii="宋体" w:hAnsi="宋体" w:cs="Times New Roman"/>
          <w:color w:val="auto"/>
          <w:kern w:val="0"/>
          <w:szCs w:val="24"/>
        </w:rPr>
        <w:t>该工序产生</w:t>
      </w:r>
      <w:r>
        <w:rPr>
          <w:rFonts w:hint="eastAsia" w:ascii="宋体" w:hAnsi="宋体" w:cs="Times New Roman"/>
          <w:color w:val="auto"/>
          <w:kern w:val="0"/>
          <w:szCs w:val="24"/>
        </w:rPr>
        <w:t>清抹有机废气、废清抹布</w:t>
      </w:r>
      <w:r>
        <w:rPr>
          <w:rFonts w:ascii="宋体" w:hAnsi="宋体" w:cs="Times New Roman"/>
          <w:color w:val="auto"/>
          <w:kern w:val="0"/>
          <w:szCs w:val="24"/>
        </w:rPr>
        <w:t>。</w:t>
      </w:r>
    </w:p>
    <w:p>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12"/>
        <w:rPr>
          <w:rFonts w:cs="Times New Roman"/>
          <w:color w:val="auto"/>
          <w:kern w:val="0"/>
          <w:szCs w:val="24"/>
        </w:rPr>
      </w:pPr>
      <w:r>
        <w:rPr>
          <w:rFonts w:ascii="宋体" w:hAnsi="宋体" w:cs="Times New Roman"/>
          <w:color w:val="auto"/>
          <w:spacing w:val="8"/>
          <w:kern w:val="0"/>
          <w:szCs w:val="24"/>
        </w:rPr>
        <w:t>（</w:t>
      </w:r>
      <w:r>
        <w:rPr>
          <w:rFonts w:cs="Times New Roman"/>
          <w:color w:val="auto"/>
          <w:spacing w:val="8"/>
          <w:kern w:val="0"/>
          <w:szCs w:val="24"/>
        </w:rPr>
        <w:t>1</w:t>
      </w:r>
      <w:r>
        <w:rPr>
          <w:rFonts w:hint="eastAsia" w:cs="Times New Roman"/>
          <w:color w:val="auto"/>
          <w:spacing w:val="8"/>
          <w:kern w:val="0"/>
          <w:szCs w:val="24"/>
        </w:rPr>
        <w:t>1</w:t>
      </w:r>
      <w:r>
        <w:rPr>
          <w:rFonts w:ascii="宋体" w:hAnsi="宋体" w:cs="Times New Roman"/>
          <w:color w:val="auto"/>
          <w:spacing w:val="8"/>
          <w:kern w:val="0"/>
          <w:szCs w:val="24"/>
        </w:rPr>
        <w:t>）喷粉、固化：清抹后的不锈钢门进入专用的喷粉房进行喷涂。本项目喷粉采用静电喷涂方式，</w:t>
      </w:r>
      <w:r>
        <w:rPr>
          <w:rFonts w:hint="eastAsia" w:ascii="宋体" w:hAnsi="宋体" w:cs="宋体"/>
          <w:color w:val="auto"/>
          <w:kern w:val="0"/>
          <w:szCs w:val="24"/>
        </w:rPr>
        <w:t>利用喷枪使粉末颗粒喷出枪体时携带正电荷，与带负电荷的型材接触，产生静电吸附，</w:t>
      </w:r>
      <w:r>
        <w:rPr>
          <w:rFonts w:ascii="宋体" w:hAnsi="宋体" w:cs="Times New Roman"/>
          <w:color w:val="auto"/>
          <w:spacing w:val="8"/>
          <w:kern w:val="0"/>
          <w:szCs w:val="24"/>
        </w:rPr>
        <w:t>日喷粉时间为</w:t>
      </w:r>
      <w:r>
        <w:rPr>
          <w:rFonts w:hint="eastAsia" w:cs="Times New Roman"/>
          <w:color w:val="auto"/>
          <w:spacing w:val="8"/>
          <w:kern w:val="0"/>
          <w:szCs w:val="24"/>
        </w:rPr>
        <w:t>4</w:t>
      </w:r>
      <w:r>
        <w:rPr>
          <w:rFonts w:cs="Times New Roman"/>
          <w:color w:val="auto"/>
          <w:spacing w:val="8"/>
          <w:kern w:val="0"/>
          <w:szCs w:val="24"/>
        </w:rPr>
        <w:t>h</w:t>
      </w:r>
      <w:r>
        <w:rPr>
          <w:rFonts w:ascii="宋体" w:hAnsi="宋体" w:cs="Times New Roman"/>
          <w:color w:val="auto"/>
          <w:spacing w:val="8"/>
          <w:kern w:val="0"/>
          <w:szCs w:val="24"/>
        </w:rPr>
        <w:t>。</w:t>
      </w:r>
      <w:r>
        <w:rPr>
          <w:rFonts w:hint="eastAsia" w:ascii="宋体" w:hAnsi="宋体" w:cs="宋体"/>
          <w:color w:val="auto"/>
          <w:kern w:val="0"/>
          <w:szCs w:val="24"/>
        </w:rPr>
        <w:t>在风机的作用下喷粉房内形成负压，防止粉末逸出，粉流和气流被抽到滤筒除尘器，滤筒收集的粉末回用于喷粉工艺中。</w:t>
      </w:r>
      <w:r>
        <w:rPr>
          <w:rFonts w:ascii="宋体" w:hAnsi="宋体" w:cs="Times New Roman"/>
          <w:color w:val="auto"/>
          <w:kern w:val="0"/>
          <w:szCs w:val="24"/>
        </w:rPr>
        <w:t>喷粉后，将不锈钢门送入</w:t>
      </w:r>
      <w:r>
        <w:rPr>
          <w:rFonts w:hint="eastAsia" w:ascii="宋体" w:hAnsi="宋体" w:cs="Times New Roman"/>
          <w:color w:val="auto"/>
          <w:kern w:val="0"/>
          <w:szCs w:val="24"/>
        </w:rPr>
        <w:t>固化炉</w:t>
      </w:r>
      <w:r>
        <w:rPr>
          <w:rFonts w:ascii="宋体" w:hAnsi="宋体" w:cs="Times New Roman"/>
          <w:color w:val="auto"/>
          <w:kern w:val="0"/>
          <w:szCs w:val="24"/>
        </w:rPr>
        <w:t>进行烘烤固化，当冷却后即可形成固态的涂层。项目</w:t>
      </w:r>
      <w:r>
        <w:rPr>
          <w:rFonts w:hint="eastAsia" w:ascii="宋体" w:hAnsi="宋体" w:cs="Times New Roman"/>
          <w:color w:val="auto"/>
          <w:kern w:val="0"/>
          <w:szCs w:val="24"/>
        </w:rPr>
        <w:t>固化炉</w:t>
      </w:r>
      <w:r>
        <w:rPr>
          <w:rFonts w:ascii="宋体" w:hAnsi="宋体" w:cs="Times New Roman"/>
          <w:color w:val="auto"/>
          <w:kern w:val="0"/>
          <w:szCs w:val="24"/>
        </w:rPr>
        <w:t>使用燃料为液化石油气，固化温度为</w:t>
      </w:r>
      <w:r>
        <w:rPr>
          <w:rFonts w:cs="Times New Roman"/>
          <w:color w:val="auto"/>
          <w:kern w:val="0"/>
          <w:szCs w:val="24"/>
        </w:rPr>
        <w:t>200℃</w:t>
      </w:r>
      <w:r>
        <w:rPr>
          <w:rFonts w:ascii="宋体" w:hAnsi="宋体" w:cs="Times New Roman"/>
          <w:color w:val="auto"/>
          <w:kern w:val="0"/>
          <w:szCs w:val="24"/>
        </w:rPr>
        <w:t>，固化时间为</w:t>
      </w:r>
      <w:r>
        <w:rPr>
          <w:rFonts w:hint="eastAsia" w:cs="Times New Roman"/>
          <w:color w:val="auto"/>
          <w:kern w:val="0"/>
          <w:szCs w:val="24"/>
        </w:rPr>
        <w:t>20min</w:t>
      </w:r>
      <w:r>
        <w:rPr>
          <w:rFonts w:cs="Times New Roman"/>
          <w:color w:val="auto"/>
          <w:kern w:val="0"/>
          <w:szCs w:val="24"/>
        </w:rPr>
        <w:t>/</w:t>
      </w:r>
      <w:r>
        <w:rPr>
          <w:rFonts w:ascii="宋体" w:hAnsi="宋体" w:cs="Times New Roman"/>
          <w:color w:val="auto"/>
          <w:kern w:val="0"/>
          <w:szCs w:val="24"/>
        </w:rPr>
        <w:t>批次，每天</w:t>
      </w:r>
      <w:r>
        <w:rPr>
          <w:rFonts w:hint="eastAsia" w:cs="Times New Roman"/>
          <w:color w:val="auto"/>
          <w:kern w:val="0"/>
          <w:szCs w:val="24"/>
        </w:rPr>
        <w:t>6</w:t>
      </w:r>
      <w:r>
        <w:rPr>
          <w:rFonts w:ascii="宋体" w:hAnsi="宋体" w:cs="Times New Roman"/>
          <w:color w:val="auto"/>
          <w:kern w:val="0"/>
          <w:szCs w:val="24"/>
        </w:rPr>
        <w:t>批次。此过程会产生喷粉粉尘、固化废气、</w:t>
      </w:r>
      <w:r>
        <w:rPr>
          <w:rFonts w:hint="eastAsia" w:ascii="宋体" w:hAnsi="宋体" w:cs="Times New Roman"/>
          <w:color w:val="auto"/>
          <w:kern w:val="0"/>
          <w:szCs w:val="24"/>
        </w:rPr>
        <w:t>废包装箱、</w:t>
      </w:r>
      <w:r>
        <w:rPr>
          <w:rFonts w:ascii="宋体" w:hAnsi="宋体" w:cs="Times New Roman"/>
          <w:color w:val="auto"/>
          <w:kern w:val="0"/>
          <w:szCs w:val="24"/>
        </w:rPr>
        <w:t>噪声。</w:t>
      </w:r>
    </w:p>
    <w:p>
      <w:pPr>
        <w:ind w:firstLine="480"/>
        <w:rPr>
          <w:rFonts w:hint="eastAsia" w:ascii="宋体" w:hAnsi="宋体" w:cs="Times New Roman"/>
          <w:color w:val="auto"/>
          <w:szCs w:val="24"/>
        </w:rPr>
      </w:pPr>
      <w:r>
        <w:rPr>
          <w:rFonts w:hint="eastAsia" w:ascii="宋体" w:hAnsi="宋体" w:cs="Times New Roman"/>
          <w:color w:val="auto"/>
          <w:szCs w:val="24"/>
        </w:rPr>
        <w:t>（</w:t>
      </w:r>
      <w:r>
        <w:rPr>
          <w:rFonts w:hint="eastAsia" w:cs="Times New Roman"/>
          <w:color w:val="auto"/>
          <w:szCs w:val="24"/>
        </w:rPr>
        <w:t>12</w:t>
      </w:r>
      <w:r>
        <w:rPr>
          <w:rFonts w:hint="eastAsia" w:ascii="宋体" w:hAnsi="宋体" w:cs="Times New Roman"/>
          <w:color w:val="auto"/>
          <w:szCs w:val="24"/>
        </w:rPr>
        <w:t>）一次喷漆（青铜漆</w:t>
      </w:r>
      <w:r>
        <w:rPr>
          <w:rFonts w:hint="eastAsia" w:cs="Times New Roman"/>
          <w:color w:val="auto"/>
          <w:szCs w:val="24"/>
        </w:rPr>
        <w:t>/</w:t>
      </w:r>
      <w:r>
        <w:rPr>
          <w:rFonts w:hint="eastAsia" w:ascii="宋体" w:hAnsi="宋体" w:cs="Times New Roman"/>
          <w:color w:val="auto"/>
          <w:szCs w:val="24"/>
        </w:rPr>
        <w:t>纯水性色漆）、烘干：喷粉固化后的不锈钢门进行喷漆，喷漆均</w:t>
      </w:r>
      <w:r>
        <w:rPr>
          <w:rFonts w:ascii="宋体" w:hAnsi="宋体" w:cs="Times New Roman"/>
          <w:color w:val="auto"/>
          <w:szCs w:val="24"/>
        </w:rPr>
        <w:t>采用</w:t>
      </w:r>
      <w:r>
        <w:rPr>
          <w:rFonts w:hint="eastAsia" w:ascii="宋体" w:hAnsi="宋体" w:cs="Times New Roman"/>
          <w:color w:val="auto"/>
          <w:szCs w:val="24"/>
        </w:rPr>
        <w:t>人工</w:t>
      </w:r>
      <w:r>
        <w:rPr>
          <w:rFonts w:ascii="宋体" w:hAnsi="宋体" w:cs="Times New Roman"/>
          <w:color w:val="auto"/>
          <w:szCs w:val="24"/>
        </w:rPr>
        <w:t>喷枪进行喷涂</w:t>
      </w:r>
      <w:r>
        <w:rPr>
          <w:rFonts w:hint="eastAsia" w:ascii="宋体" w:hAnsi="宋体" w:cs="Times New Roman"/>
          <w:color w:val="auto"/>
          <w:szCs w:val="24"/>
        </w:rPr>
        <w:t>。</w:t>
      </w:r>
      <w:r>
        <w:rPr>
          <w:rFonts w:ascii="宋体" w:hAnsi="宋体" w:cs="Times New Roman"/>
          <w:color w:val="auto"/>
          <w:szCs w:val="24"/>
        </w:rPr>
        <w:t>项目</w:t>
      </w:r>
      <w:r>
        <w:rPr>
          <w:rFonts w:hint="eastAsia" w:ascii="宋体" w:hAnsi="宋体" w:cs="Times New Roman"/>
          <w:color w:val="auto"/>
          <w:szCs w:val="24"/>
        </w:rPr>
        <w:t>部分不锈钢门（占产能</w:t>
      </w:r>
      <w:r>
        <w:rPr>
          <w:rFonts w:hint="eastAsia" w:cs="Times New Roman"/>
          <w:color w:val="auto"/>
          <w:szCs w:val="24"/>
        </w:rPr>
        <w:t>30%</w:t>
      </w:r>
      <w:r>
        <w:rPr>
          <w:rFonts w:hint="eastAsia" w:ascii="宋体" w:hAnsi="宋体" w:cs="Times New Roman"/>
          <w:color w:val="auto"/>
          <w:szCs w:val="24"/>
        </w:rPr>
        <w:t>）</w:t>
      </w:r>
      <w:r>
        <w:rPr>
          <w:rFonts w:ascii="宋体" w:hAnsi="宋体" w:cs="Times New Roman"/>
          <w:color w:val="auto"/>
          <w:szCs w:val="24"/>
        </w:rPr>
        <w:t>喷涂</w:t>
      </w:r>
      <w:r>
        <w:rPr>
          <w:rFonts w:hint="eastAsia" w:ascii="宋体" w:hAnsi="宋体" w:cs="Times New Roman"/>
          <w:color w:val="auto"/>
          <w:szCs w:val="24"/>
        </w:rPr>
        <w:t>油性青铜漆，部分不锈钢门（占产能</w:t>
      </w:r>
      <w:r>
        <w:rPr>
          <w:rFonts w:hint="eastAsia" w:cs="Times New Roman"/>
          <w:color w:val="auto"/>
          <w:szCs w:val="24"/>
        </w:rPr>
        <w:t>70%</w:t>
      </w:r>
      <w:r>
        <w:rPr>
          <w:rFonts w:hint="eastAsia" w:ascii="宋体" w:hAnsi="宋体" w:cs="Times New Roman"/>
          <w:color w:val="auto"/>
          <w:szCs w:val="24"/>
        </w:rPr>
        <w:t>）喷涂纯水性色漆。调漆在调漆房进行，喷漆、喷枪清洗均在密闭喷漆房</w:t>
      </w:r>
      <w:r>
        <w:rPr>
          <w:rFonts w:hint="eastAsia" w:cs="Times New Roman"/>
          <w:color w:val="auto"/>
          <w:szCs w:val="24"/>
        </w:rPr>
        <w:t>1</w:t>
      </w:r>
      <w:r>
        <w:rPr>
          <w:rFonts w:hint="eastAsia" w:ascii="宋体" w:hAnsi="宋体" w:cs="Times New Roman"/>
          <w:color w:val="auto"/>
          <w:szCs w:val="24"/>
        </w:rPr>
        <w:t>内进行，烘干在密闭烤漆炉</w:t>
      </w:r>
      <w:r>
        <w:rPr>
          <w:rFonts w:hint="eastAsia" w:cs="Times New Roman"/>
          <w:color w:val="auto"/>
          <w:szCs w:val="24"/>
        </w:rPr>
        <w:t>1</w:t>
      </w:r>
      <w:r>
        <w:rPr>
          <w:rFonts w:hint="eastAsia" w:ascii="宋体" w:hAnsi="宋体" w:cs="Times New Roman"/>
          <w:color w:val="auto"/>
          <w:szCs w:val="24"/>
        </w:rPr>
        <w:t>内进行。将外购的青铜漆和青铜漆稀释剂按</w:t>
      </w:r>
      <w:r>
        <w:rPr>
          <w:rFonts w:hint="eastAsia" w:cs="Times New Roman"/>
          <w:color w:val="auto"/>
          <w:szCs w:val="24"/>
        </w:rPr>
        <w:t>1:1</w:t>
      </w:r>
      <w:r>
        <w:rPr>
          <w:rFonts w:hint="eastAsia" w:ascii="宋体" w:hAnsi="宋体" w:cs="Times New Roman"/>
          <w:color w:val="auto"/>
          <w:szCs w:val="24"/>
        </w:rPr>
        <w:t>的比例、纯水性色漆和水按</w:t>
      </w:r>
      <w:r>
        <w:rPr>
          <w:rFonts w:hint="eastAsia" w:cs="Times New Roman"/>
          <w:color w:val="auto"/>
          <w:szCs w:val="24"/>
        </w:rPr>
        <w:t>1:1</w:t>
      </w:r>
      <w:r>
        <w:rPr>
          <w:rFonts w:hint="eastAsia" w:ascii="宋体" w:hAnsi="宋体" w:cs="Times New Roman"/>
          <w:color w:val="auto"/>
          <w:szCs w:val="24"/>
        </w:rPr>
        <w:t>的比例在调漆房内进行调配好。工件首先在喷漆房</w:t>
      </w:r>
      <w:r>
        <w:rPr>
          <w:rFonts w:hint="eastAsia" w:cs="Times New Roman"/>
          <w:color w:val="auto"/>
          <w:szCs w:val="24"/>
        </w:rPr>
        <w:t>1</w:t>
      </w:r>
      <w:r>
        <w:rPr>
          <w:rFonts w:hint="eastAsia" w:ascii="宋体" w:hAnsi="宋体" w:cs="Times New Roman"/>
          <w:color w:val="auto"/>
          <w:szCs w:val="24"/>
        </w:rPr>
        <w:t>喷涂，</w:t>
      </w:r>
      <w:r>
        <w:rPr>
          <w:rFonts w:ascii="宋体" w:hAnsi="宋体" w:cs="Times New Roman"/>
          <w:color w:val="auto"/>
          <w:szCs w:val="24"/>
        </w:rPr>
        <w:t>喷涂</w:t>
      </w:r>
      <w:r>
        <w:rPr>
          <w:rFonts w:hint="eastAsia" w:ascii="宋体" w:hAnsi="宋体" w:cs="Times New Roman"/>
          <w:color w:val="auto"/>
          <w:szCs w:val="24"/>
        </w:rPr>
        <w:t>油性青铜漆日喷涂时间为</w:t>
      </w:r>
      <w:r>
        <w:rPr>
          <w:rFonts w:hint="eastAsia" w:cs="Times New Roman"/>
          <w:color w:val="auto"/>
          <w:szCs w:val="24"/>
        </w:rPr>
        <w:t>1h</w:t>
      </w:r>
      <w:r>
        <w:rPr>
          <w:rFonts w:hint="eastAsia" w:ascii="宋体" w:hAnsi="宋体" w:cs="Times New Roman"/>
          <w:color w:val="auto"/>
          <w:szCs w:val="24"/>
        </w:rPr>
        <w:t>，喷纯水性色漆日喷涂时间为</w:t>
      </w:r>
      <w:r>
        <w:rPr>
          <w:rFonts w:hint="eastAsia" w:cs="Times New Roman"/>
          <w:color w:val="auto"/>
          <w:szCs w:val="24"/>
        </w:rPr>
        <w:t>2h</w:t>
      </w:r>
      <w:r>
        <w:rPr>
          <w:rFonts w:hint="eastAsia" w:ascii="宋体" w:hAnsi="宋体" w:cs="Times New Roman"/>
          <w:color w:val="auto"/>
          <w:szCs w:val="24"/>
        </w:rPr>
        <w:t>；然后通过流平通道进入烤漆炉</w:t>
      </w:r>
      <w:r>
        <w:rPr>
          <w:rFonts w:hint="eastAsia" w:cs="Times New Roman"/>
          <w:color w:val="auto"/>
          <w:szCs w:val="24"/>
        </w:rPr>
        <w:t>1</w:t>
      </w:r>
      <w:r>
        <w:rPr>
          <w:rFonts w:hint="eastAsia" w:ascii="宋体" w:hAnsi="宋体" w:cs="Times New Roman"/>
          <w:color w:val="auto"/>
          <w:szCs w:val="24"/>
        </w:rPr>
        <w:t>，烤漆炉</w:t>
      </w:r>
      <w:r>
        <w:rPr>
          <w:rFonts w:hint="eastAsia" w:cs="Times New Roman"/>
          <w:color w:val="auto"/>
          <w:szCs w:val="24"/>
        </w:rPr>
        <w:t>1</w:t>
      </w:r>
      <w:r>
        <w:rPr>
          <w:rFonts w:hint="eastAsia" w:ascii="宋体" w:hAnsi="宋体" w:cs="Times New Roman"/>
          <w:color w:val="auto"/>
          <w:szCs w:val="24"/>
        </w:rPr>
        <w:t>使用燃料为液化石油气，烘烤温度约</w:t>
      </w:r>
      <w:r>
        <w:rPr>
          <w:rFonts w:hint="eastAsia" w:cs="Times New Roman"/>
          <w:color w:val="auto"/>
          <w:szCs w:val="24"/>
        </w:rPr>
        <w:t>160</w:t>
      </w:r>
      <w:r>
        <w:rPr>
          <w:rFonts w:hint="eastAsia" w:ascii="宋体" w:hAnsi="宋体" w:cs="Times New Roman"/>
          <w:color w:val="auto"/>
          <w:szCs w:val="24"/>
        </w:rPr>
        <w:t>℃，烘烤时间为</w:t>
      </w:r>
      <w:r>
        <w:rPr>
          <w:rFonts w:hint="eastAsia" w:cs="Times New Roman"/>
          <w:color w:val="auto"/>
          <w:szCs w:val="24"/>
        </w:rPr>
        <w:t>1h/</w:t>
      </w:r>
      <w:r>
        <w:rPr>
          <w:rFonts w:hint="eastAsia" w:ascii="宋体" w:hAnsi="宋体" w:cs="Times New Roman"/>
          <w:color w:val="auto"/>
          <w:szCs w:val="24"/>
        </w:rPr>
        <w:t>批次，</w:t>
      </w:r>
      <w:r>
        <w:rPr>
          <w:rFonts w:ascii="宋体" w:hAnsi="宋体" w:cs="Times New Roman"/>
          <w:color w:val="auto"/>
          <w:szCs w:val="24"/>
        </w:rPr>
        <w:t>每天</w:t>
      </w:r>
      <w:r>
        <w:rPr>
          <w:rFonts w:hint="eastAsia" w:cs="Times New Roman"/>
          <w:color w:val="auto"/>
          <w:szCs w:val="24"/>
        </w:rPr>
        <w:t>2</w:t>
      </w:r>
      <w:r>
        <w:rPr>
          <w:rFonts w:ascii="宋体" w:hAnsi="宋体" w:cs="Times New Roman"/>
          <w:color w:val="auto"/>
          <w:szCs w:val="24"/>
        </w:rPr>
        <w:t>批次。</w:t>
      </w:r>
      <w:r>
        <w:rPr>
          <w:rFonts w:hint="eastAsia" w:ascii="宋体" w:hAnsi="宋体" w:cs="Times New Roman"/>
          <w:color w:val="auto"/>
          <w:szCs w:val="24"/>
        </w:rPr>
        <w:t>此过程会产生调漆废气、喷漆废气、烘干废气及液化石油气燃烧废气、水帘柜废水、漆渣、废包装桶、噪声。</w:t>
      </w:r>
    </w:p>
    <w:p>
      <w:pPr>
        <w:ind w:firstLine="480"/>
        <w:rPr>
          <w:rFonts w:hint="eastAsia" w:ascii="宋体" w:hAnsi="宋体" w:cs="Times New Roman"/>
          <w:color w:val="auto"/>
          <w:szCs w:val="24"/>
        </w:rPr>
      </w:pPr>
      <w:r>
        <w:rPr>
          <w:rFonts w:hint="eastAsia" w:ascii="宋体" w:hAnsi="宋体" w:cs="Times New Roman"/>
          <w:color w:val="auto"/>
          <w:szCs w:val="24"/>
        </w:rPr>
        <w:t>（</w:t>
      </w:r>
      <w:r>
        <w:rPr>
          <w:rFonts w:hint="eastAsia" w:cs="Times New Roman"/>
          <w:color w:val="auto"/>
          <w:szCs w:val="24"/>
        </w:rPr>
        <w:t>13</w:t>
      </w:r>
      <w:r>
        <w:rPr>
          <w:rFonts w:hint="eastAsia" w:ascii="宋体" w:hAnsi="宋体" w:cs="Times New Roman"/>
          <w:color w:val="auto"/>
          <w:szCs w:val="24"/>
        </w:rPr>
        <w:t>）二次喷漆（拉丝漆）及晾干、拉丝：根据不锈钢烤漆门的使用环境或客户需求，需要对喷完青铜漆</w:t>
      </w:r>
      <w:r>
        <w:rPr>
          <w:rFonts w:hint="eastAsia" w:cs="Times New Roman"/>
          <w:color w:val="auto"/>
          <w:szCs w:val="24"/>
        </w:rPr>
        <w:t>/</w:t>
      </w:r>
      <w:r>
        <w:rPr>
          <w:rFonts w:hint="eastAsia" w:ascii="宋体" w:hAnsi="宋体" w:cs="Times New Roman"/>
          <w:color w:val="auto"/>
          <w:szCs w:val="24"/>
        </w:rPr>
        <w:t>纯水性色漆并烘干完毕后的不锈钢门使用油性拉丝漆进行拉丝处理。调漆在调漆房进行，喷漆、喷抢清洗均在密闭喷漆房</w:t>
      </w:r>
      <w:r>
        <w:rPr>
          <w:rFonts w:hint="eastAsia" w:cs="Times New Roman"/>
          <w:color w:val="auto"/>
          <w:szCs w:val="24"/>
        </w:rPr>
        <w:t>1</w:t>
      </w:r>
      <w:r>
        <w:rPr>
          <w:rFonts w:hint="eastAsia" w:ascii="宋体" w:hAnsi="宋体" w:cs="Times New Roman"/>
          <w:color w:val="auto"/>
          <w:szCs w:val="24"/>
        </w:rPr>
        <w:t>内进行。将外购的拉丝漆和拉丝漆稀释剂按</w:t>
      </w:r>
      <w:r>
        <w:rPr>
          <w:rFonts w:hint="eastAsia" w:cs="Times New Roman"/>
          <w:color w:val="auto"/>
          <w:szCs w:val="24"/>
        </w:rPr>
        <w:t>1:5</w:t>
      </w:r>
      <w:r>
        <w:rPr>
          <w:rFonts w:hint="eastAsia" w:ascii="宋体" w:hAnsi="宋体" w:cs="Times New Roman"/>
          <w:color w:val="auto"/>
          <w:szCs w:val="24"/>
        </w:rPr>
        <w:t>的比例在调漆房内进行调配好。工件首先在喷漆房</w:t>
      </w:r>
      <w:r>
        <w:rPr>
          <w:rFonts w:hint="eastAsia" w:cs="Times New Roman"/>
          <w:color w:val="auto"/>
          <w:szCs w:val="24"/>
        </w:rPr>
        <w:t>1</w:t>
      </w:r>
      <w:r>
        <w:rPr>
          <w:rFonts w:hint="eastAsia" w:ascii="宋体" w:hAnsi="宋体" w:cs="Times New Roman"/>
          <w:color w:val="auto"/>
          <w:szCs w:val="24"/>
        </w:rPr>
        <w:t>喷拉丝漆，</w:t>
      </w:r>
      <w:r>
        <w:rPr>
          <w:rFonts w:ascii="宋体" w:hAnsi="宋体" w:cs="Times New Roman"/>
          <w:color w:val="auto"/>
          <w:szCs w:val="24"/>
        </w:rPr>
        <w:t>采用</w:t>
      </w:r>
      <w:r>
        <w:rPr>
          <w:rFonts w:hint="eastAsia" w:ascii="宋体" w:hAnsi="宋体" w:cs="Times New Roman"/>
          <w:color w:val="auto"/>
          <w:szCs w:val="24"/>
        </w:rPr>
        <w:t>人工</w:t>
      </w:r>
      <w:r>
        <w:rPr>
          <w:rFonts w:ascii="宋体" w:hAnsi="宋体" w:cs="Times New Roman"/>
          <w:color w:val="auto"/>
          <w:szCs w:val="24"/>
        </w:rPr>
        <w:t>喷涂</w:t>
      </w:r>
      <w:r>
        <w:rPr>
          <w:rFonts w:hint="eastAsia" w:ascii="宋体" w:hAnsi="宋体" w:cs="Times New Roman"/>
          <w:color w:val="auto"/>
          <w:szCs w:val="24"/>
        </w:rPr>
        <w:t>方式，日喷涂时间为</w:t>
      </w:r>
      <w:r>
        <w:rPr>
          <w:rFonts w:hint="eastAsia" w:cs="Times New Roman"/>
          <w:color w:val="auto"/>
          <w:szCs w:val="24"/>
        </w:rPr>
        <w:t>2h</w:t>
      </w:r>
      <w:r>
        <w:rPr>
          <w:rFonts w:hint="eastAsia" w:ascii="宋体" w:hAnsi="宋体" w:cs="Times New Roman"/>
          <w:color w:val="auto"/>
          <w:szCs w:val="24"/>
        </w:rPr>
        <w:t>；喷漆后在喷漆房</w:t>
      </w:r>
      <w:r>
        <w:rPr>
          <w:rFonts w:hint="eastAsia" w:cs="Times New Roman"/>
          <w:color w:val="auto"/>
          <w:szCs w:val="24"/>
        </w:rPr>
        <w:t>1</w:t>
      </w:r>
      <w:r>
        <w:rPr>
          <w:rFonts w:hint="eastAsia" w:ascii="宋体" w:hAnsi="宋体" w:cs="Times New Roman"/>
          <w:color w:val="auto"/>
          <w:szCs w:val="24"/>
        </w:rPr>
        <w:t>自然晾干，自然晾干时间为</w:t>
      </w:r>
      <w:r>
        <w:rPr>
          <w:rFonts w:hint="eastAsia" w:cs="Times New Roman"/>
          <w:color w:val="auto"/>
          <w:szCs w:val="24"/>
        </w:rPr>
        <w:t>1</w:t>
      </w:r>
      <w:r>
        <w:rPr>
          <w:rFonts w:hint="eastAsia" w:ascii="宋体" w:hAnsi="宋体" w:cs="Times New Roman"/>
          <w:color w:val="auto"/>
          <w:szCs w:val="24"/>
        </w:rPr>
        <w:t>小时，晾干后下件进入拉丝区，通过人工使用拉丝布拉丝完毕上件，进入下一个工序。此过程会产生调漆废气、喷漆废气、水帘柜废水、漆渣、废包装桶、废拉丝布、噪声。</w:t>
      </w:r>
    </w:p>
    <w:p>
      <w:pPr>
        <w:snapToGrid w:val="0"/>
        <w:ind w:firstLine="480"/>
        <w:rPr>
          <w:rFonts w:cs="Times New Roman"/>
          <w:color w:val="auto"/>
          <w:szCs w:val="24"/>
        </w:rPr>
      </w:pPr>
      <w:r>
        <w:rPr>
          <w:rFonts w:hint="eastAsia" w:ascii="宋体" w:hAnsi="宋体" w:cs="Times New Roman"/>
          <w:color w:val="auto"/>
          <w:szCs w:val="24"/>
        </w:rPr>
        <w:t>（</w:t>
      </w:r>
      <w:r>
        <w:rPr>
          <w:rFonts w:hint="eastAsia" w:cs="Times New Roman"/>
          <w:color w:val="auto"/>
          <w:szCs w:val="24"/>
        </w:rPr>
        <w:t>14</w:t>
      </w:r>
      <w:r>
        <w:rPr>
          <w:rFonts w:hint="eastAsia" w:ascii="宋体" w:hAnsi="宋体" w:cs="Times New Roman"/>
          <w:color w:val="auto"/>
          <w:szCs w:val="24"/>
        </w:rPr>
        <w:t>）三次喷漆（喷亚克力光油</w:t>
      </w:r>
      <w:r>
        <w:rPr>
          <w:rFonts w:hint="eastAsia" w:cs="Times New Roman"/>
          <w:color w:val="auto"/>
          <w:szCs w:val="24"/>
        </w:rPr>
        <w:t>/</w:t>
      </w:r>
      <w:r>
        <w:rPr>
          <w:rFonts w:hint="eastAsia" w:ascii="宋体" w:hAnsi="宋体" w:cs="Times New Roman"/>
          <w:color w:val="auto"/>
          <w:szCs w:val="24"/>
        </w:rPr>
        <w:t>纯水性清漆）、烘干：拉丝之后的不锈钢门进行喷漆，喷漆均</w:t>
      </w:r>
      <w:r>
        <w:rPr>
          <w:rFonts w:ascii="宋体" w:hAnsi="宋体" w:cs="Times New Roman"/>
          <w:color w:val="auto"/>
          <w:szCs w:val="24"/>
        </w:rPr>
        <w:t>采用</w:t>
      </w:r>
      <w:r>
        <w:rPr>
          <w:rFonts w:hint="eastAsia" w:ascii="宋体" w:hAnsi="宋体" w:cs="Times New Roman"/>
          <w:color w:val="auto"/>
          <w:szCs w:val="24"/>
        </w:rPr>
        <w:t>人工</w:t>
      </w:r>
      <w:r>
        <w:rPr>
          <w:rFonts w:ascii="宋体" w:hAnsi="宋体" w:cs="Times New Roman"/>
          <w:color w:val="auto"/>
          <w:szCs w:val="24"/>
        </w:rPr>
        <w:t>喷枪进行喷涂</w:t>
      </w:r>
      <w:r>
        <w:rPr>
          <w:rFonts w:hint="eastAsia" w:ascii="宋体" w:hAnsi="宋体" w:cs="Times New Roman"/>
          <w:color w:val="auto"/>
          <w:szCs w:val="24"/>
        </w:rPr>
        <w:t>。</w:t>
      </w:r>
      <w:r>
        <w:rPr>
          <w:rFonts w:ascii="宋体" w:hAnsi="宋体" w:cs="Times New Roman"/>
          <w:color w:val="auto"/>
          <w:szCs w:val="24"/>
        </w:rPr>
        <w:t>项目</w:t>
      </w:r>
      <w:r>
        <w:rPr>
          <w:rFonts w:hint="eastAsia" w:ascii="宋体" w:hAnsi="宋体" w:cs="Times New Roman"/>
          <w:color w:val="auto"/>
          <w:szCs w:val="24"/>
        </w:rPr>
        <w:t>一次喷漆工序中喷油性青铜漆的不锈钢门</w:t>
      </w:r>
      <w:r>
        <w:rPr>
          <w:rFonts w:ascii="宋体" w:hAnsi="宋体" w:cs="Times New Roman"/>
          <w:color w:val="auto"/>
          <w:szCs w:val="24"/>
        </w:rPr>
        <w:t>喷涂</w:t>
      </w:r>
      <w:r>
        <w:rPr>
          <w:rFonts w:hint="eastAsia" w:ascii="宋体" w:hAnsi="宋体" w:cs="Times New Roman"/>
          <w:color w:val="auto"/>
          <w:szCs w:val="24"/>
        </w:rPr>
        <w:t>亚克力光油，一次喷漆工序中喷纯水性色漆的不锈钢门喷涂纯水性清漆。调漆在调漆房进行，喷漆、喷枪清洗均在密闭喷漆房</w:t>
      </w:r>
      <w:r>
        <w:rPr>
          <w:rFonts w:hint="eastAsia" w:cs="Times New Roman"/>
          <w:color w:val="auto"/>
          <w:szCs w:val="24"/>
        </w:rPr>
        <w:t>2</w:t>
      </w:r>
      <w:r>
        <w:rPr>
          <w:rFonts w:hint="eastAsia" w:ascii="宋体" w:hAnsi="宋体" w:cs="Times New Roman"/>
          <w:color w:val="auto"/>
          <w:szCs w:val="24"/>
        </w:rPr>
        <w:t>内进行，烘干在密闭烤漆炉</w:t>
      </w:r>
      <w:r>
        <w:rPr>
          <w:rFonts w:hint="eastAsia" w:cs="Times New Roman"/>
          <w:color w:val="auto"/>
          <w:szCs w:val="24"/>
        </w:rPr>
        <w:t>2</w:t>
      </w:r>
      <w:r>
        <w:rPr>
          <w:rFonts w:hint="eastAsia" w:ascii="宋体" w:hAnsi="宋体" w:cs="Times New Roman"/>
          <w:color w:val="auto"/>
          <w:szCs w:val="24"/>
        </w:rPr>
        <w:t>内进行。将外购的亚克力光油和亚克力光油</w:t>
      </w:r>
      <w:r>
        <w:rPr>
          <w:rFonts w:ascii="宋体" w:hAnsi="宋体" w:cs="Times New Roman"/>
          <w:color w:val="auto"/>
          <w:szCs w:val="24"/>
        </w:rPr>
        <w:t>稀释剂按</w:t>
      </w:r>
      <w:r>
        <w:rPr>
          <w:rFonts w:cs="Times New Roman"/>
          <w:color w:val="auto"/>
          <w:szCs w:val="24"/>
        </w:rPr>
        <w:t>1:1</w:t>
      </w:r>
      <w:r>
        <w:rPr>
          <w:rFonts w:ascii="宋体" w:hAnsi="宋体" w:cs="Times New Roman"/>
          <w:color w:val="auto"/>
          <w:szCs w:val="24"/>
        </w:rPr>
        <w:t>的比例、纯水性清漆和水按</w:t>
      </w:r>
      <w:r>
        <w:rPr>
          <w:rFonts w:cs="Times New Roman"/>
          <w:color w:val="auto"/>
          <w:szCs w:val="24"/>
        </w:rPr>
        <w:t>4:3</w:t>
      </w:r>
      <w:r>
        <w:rPr>
          <w:rFonts w:ascii="宋体" w:hAnsi="宋体" w:cs="Times New Roman"/>
          <w:color w:val="auto"/>
          <w:szCs w:val="24"/>
        </w:rPr>
        <w:t>的比例在</w:t>
      </w:r>
      <w:r>
        <w:rPr>
          <w:rFonts w:hint="eastAsia" w:ascii="宋体" w:hAnsi="宋体" w:cs="Times New Roman"/>
          <w:color w:val="auto"/>
          <w:szCs w:val="24"/>
        </w:rPr>
        <w:t>调漆房</w:t>
      </w:r>
      <w:r>
        <w:rPr>
          <w:rFonts w:ascii="宋体" w:hAnsi="宋体" w:cs="Times New Roman"/>
          <w:color w:val="auto"/>
          <w:szCs w:val="24"/>
        </w:rPr>
        <w:t>内进行调配好。工件首先在喷漆房</w:t>
      </w:r>
      <w:r>
        <w:rPr>
          <w:rFonts w:hint="eastAsia" w:cs="Times New Roman"/>
          <w:color w:val="auto"/>
          <w:szCs w:val="24"/>
        </w:rPr>
        <w:t>2</w:t>
      </w:r>
      <w:r>
        <w:rPr>
          <w:rFonts w:ascii="宋体" w:hAnsi="宋体" w:cs="Times New Roman"/>
          <w:color w:val="auto"/>
          <w:szCs w:val="24"/>
        </w:rPr>
        <w:t>喷涂，喷涂油性亚克力光油日喷涂时间为</w:t>
      </w:r>
      <w:r>
        <w:rPr>
          <w:rFonts w:cs="Times New Roman"/>
          <w:color w:val="auto"/>
          <w:szCs w:val="24"/>
        </w:rPr>
        <w:t>2h</w:t>
      </w:r>
      <w:r>
        <w:rPr>
          <w:rFonts w:ascii="宋体" w:hAnsi="宋体" w:cs="Times New Roman"/>
          <w:color w:val="auto"/>
          <w:szCs w:val="24"/>
        </w:rPr>
        <w:t>，喷纯水性清漆日喷涂时间为</w:t>
      </w:r>
      <w:r>
        <w:rPr>
          <w:rFonts w:hint="eastAsia" w:cs="Times New Roman"/>
          <w:color w:val="auto"/>
          <w:szCs w:val="24"/>
        </w:rPr>
        <w:t>4</w:t>
      </w:r>
      <w:r>
        <w:rPr>
          <w:rFonts w:cs="Times New Roman"/>
          <w:color w:val="auto"/>
          <w:szCs w:val="24"/>
        </w:rPr>
        <w:t>h</w:t>
      </w:r>
      <w:r>
        <w:rPr>
          <w:rFonts w:ascii="宋体" w:hAnsi="宋体" w:cs="Times New Roman"/>
          <w:color w:val="auto"/>
          <w:szCs w:val="24"/>
        </w:rPr>
        <w:t>；然后通过流平通道进入烤漆炉</w:t>
      </w:r>
      <w:r>
        <w:rPr>
          <w:rFonts w:hint="eastAsia" w:cs="Times New Roman"/>
          <w:color w:val="auto"/>
          <w:szCs w:val="24"/>
        </w:rPr>
        <w:t>2</w:t>
      </w:r>
      <w:r>
        <w:rPr>
          <w:rFonts w:ascii="宋体" w:hAnsi="宋体" w:cs="Times New Roman"/>
          <w:color w:val="auto"/>
          <w:szCs w:val="24"/>
        </w:rPr>
        <w:t>，烤漆炉</w:t>
      </w:r>
      <w:r>
        <w:rPr>
          <w:rFonts w:hint="eastAsia" w:cs="Times New Roman"/>
          <w:color w:val="auto"/>
          <w:szCs w:val="24"/>
        </w:rPr>
        <w:t>2</w:t>
      </w:r>
      <w:r>
        <w:rPr>
          <w:rFonts w:ascii="宋体" w:hAnsi="宋体" w:cs="Times New Roman"/>
          <w:color w:val="auto"/>
          <w:szCs w:val="24"/>
        </w:rPr>
        <w:t>使用燃料为液化石油气，烘烤温度约</w:t>
      </w:r>
      <w:r>
        <w:rPr>
          <w:rFonts w:cs="Times New Roman"/>
          <w:color w:val="auto"/>
          <w:szCs w:val="24"/>
        </w:rPr>
        <w:t>160℃</w:t>
      </w:r>
      <w:r>
        <w:rPr>
          <w:rFonts w:ascii="宋体" w:hAnsi="宋体" w:cs="Times New Roman"/>
          <w:color w:val="auto"/>
          <w:szCs w:val="24"/>
        </w:rPr>
        <w:t>，烘烤时间为</w:t>
      </w:r>
      <w:r>
        <w:rPr>
          <w:rFonts w:cs="Times New Roman"/>
          <w:color w:val="auto"/>
          <w:szCs w:val="24"/>
        </w:rPr>
        <w:t>1h/</w:t>
      </w:r>
      <w:r>
        <w:rPr>
          <w:rFonts w:ascii="宋体" w:hAnsi="宋体" w:cs="Times New Roman"/>
          <w:color w:val="auto"/>
          <w:szCs w:val="24"/>
        </w:rPr>
        <w:t>批次，每天</w:t>
      </w:r>
      <w:r>
        <w:rPr>
          <w:rFonts w:hint="eastAsia" w:cs="Times New Roman"/>
          <w:color w:val="auto"/>
          <w:szCs w:val="24"/>
        </w:rPr>
        <w:t>2</w:t>
      </w:r>
      <w:r>
        <w:rPr>
          <w:rFonts w:ascii="宋体" w:hAnsi="宋体" w:cs="Times New Roman"/>
          <w:color w:val="auto"/>
          <w:szCs w:val="24"/>
        </w:rPr>
        <w:t>批次。此过程会产生</w:t>
      </w:r>
      <w:r>
        <w:rPr>
          <w:rFonts w:hint="eastAsia" w:ascii="宋体" w:hAnsi="宋体" w:cs="Times New Roman"/>
          <w:color w:val="auto"/>
          <w:szCs w:val="24"/>
        </w:rPr>
        <w:t>调漆废气、喷漆废气、烘干废气及液化石油气燃烧废气、水帘柜废水、漆渣、废包装桶、噪声</w:t>
      </w:r>
      <w:r>
        <w:rPr>
          <w:rFonts w:ascii="宋体" w:hAnsi="宋体" w:cs="Times New Roman"/>
          <w:color w:val="auto"/>
          <w:szCs w:val="24"/>
        </w:rPr>
        <w:t>。</w:t>
      </w:r>
    </w:p>
    <w:p>
      <w:pPr>
        <w:snapToGrid w:val="0"/>
        <w:ind w:firstLine="482"/>
        <w:rPr>
          <w:rFonts w:hint="eastAsia" w:ascii="宋体" w:hAnsi="宋体" w:cs="Times New Roman"/>
          <w:b/>
          <w:bCs/>
          <w:color w:val="auto"/>
          <w:szCs w:val="24"/>
        </w:rPr>
      </w:pPr>
      <w:r>
        <w:rPr>
          <w:rFonts w:hint="eastAsia" w:ascii="宋体" w:hAnsi="宋体" w:cs="Times New Roman"/>
          <w:b/>
          <w:bCs/>
          <w:color w:val="auto"/>
          <w:szCs w:val="24"/>
        </w:rPr>
        <w:t>备注：</w:t>
      </w:r>
    </w:p>
    <w:p>
      <w:pPr>
        <w:snapToGrid w:val="0"/>
        <w:ind w:firstLine="480"/>
        <w:rPr>
          <w:rFonts w:cs="Times New Roman"/>
          <w:color w:val="auto"/>
          <w:szCs w:val="24"/>
        </w:rPr>
      </w:pPr>
      <w:r>
        <w:rPr>
          <w:rFonts w:hint="eastAsia" w:ascii="宋体" w:hAnsi="宋体" w:cs="Times New Roman"/>
          <w:color w:val="auto"/>
          <w:szCs w:val="24"/>
        </w:rPr>
        <w:t>喷枪清洗方式：油性涂料喷涂的喷枪清洗采用稀释剂进行清洗，水性涂料喷涂的喷枪清洗是采用普通自来水进行清洗。油性涂料喷枪清洗完的稀释剂放在密闭包装桶用于下次调漆；油性涂料喷枪清洗完的废液（自来水和水性涂料）全部回用于水性涂料调配，不外排。此过程还会产生洗枪废气。</w:t>
      </w:r>
    </w:p>
    <w:p>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80"/>
        <w:rPr>
          <w:rFonts w:cs="Times New Roman"/>
          <w:color w:val="auto"/>
          <w:kern w:val="0"/>
          <w:szCs w:val="24"/>
        </w:rPr>
      </w:pPr>
      <w:r>
        <w:rPr>
          <w:rFonts w:ascii="宋体" w:hAnsi="宋体" w:cs="Times New Roman"/>
          <w:color w:val="auto"/>
          <w:kern w:val="0"/>
          <w:szCs w:val="24"/>
        </w:rPr>
        <w:t>（</w:t>
      </w:r>
      <w:r>
        <w:rPr>
          <w:rFonts w:cs="Times New Roman"/>
          <w:color w:val="auto"/>
          <w:kern w:val="0"/>
          <w:szCs w:val="24"/>
        </w:rPr>
        <w:t>15</w:t>
      </w:r>
      <w:r>
        <w:rPr>
          <w:rFonts w:ascii="宋体" w:hAnsi="宋体" w:cs="Times New Roman"/>
          <w:color w:val="auto"/>
          <w:kern w:val="0"/>
          <w:szCs w:val="24"/>
        </w:rPr>
        <w:t>）装配：将门框、门扇拼装成型，使用手磨机对门框修整，铝扣条利用割铝机切割成合适尺寸，再通过电钻将合页和铝扣条装至门框上。同时将加工完成的不锈钢烤漆大门与外购的锁、拉手、插销等配件进行装配。该工序产生粉尘、边角料、噪声。</w:t>
      </w:r>
    </w:p>
    <w:p>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80"/>
        <w:rPr>
          <w:rFonts w:cs="Times New Roman"/>
          <w:color w:val="auto"/>
          <w:kern w:val="0"/>
          <w:szCs w:val="24"/>
        </w:rPr>
      </w:pPr>
      <w:r>
        <w:rPr>
          <w:rFonts w:ascii="宋体" w:hAnsi="宋体" w:cs="Times New Roman"/>
          <w:color w:val="auto"/>
          <w:kern w:val="0"/>
          <w:szCs w:val="24"/>
        </w:rPr>
        <w:t>（</w:t>
      </w:r>
      <w:r>
        <w:rPr>
          <w:rFonts w:hint="eastAsia" w:cs="Times New Roman"/>
          <w:color w:val="auto"/>
          <w:kern w:val="0"/>
          <w:szCs w:val="24"/>
        </w:rPr>
        <w:t>16</w:t>
      </w:r>
      <w:r>
        <w:rPr>
          <w:rFonts w:ascii="宋体" w:hAnsi="宋体" w:cs="Times New Roman"/>
          <w:color w:val="auto"/>
          <w:kern w:val="0"/>
          <w:szCs w:val="24"/>
        </w:rPr>
        <w:t>）成品调试、入库、出货：</w:t>
      </w:r>
      <w:r>
        <w:rPr>
          <w:rFonts w:ascii="宋体" w:hAnsi="宋体" w:cs="Times New Roman"/>
          <w:color w:val="auto"/>
          <w:spacing w:val="8"/>
          <w:kern w:val="0"/>
          <w:szCs w:val="24"/>
        </w:rPr>
        <w:t>使用玻璃胶填补门扇与门框、包边等接缝处的微小缝隙。不锈钢烤漆门入库、出货。</w:t>
      </w:r>
      <w:r>
        <w:rPr>
          <w:rFonts w:ascii="宋体" w:hAnsi="宋体" w:cs="Times New Roman"/>
          <w:color w:val="auto"/>
          <w:kern w:val="0"/>
          <w:szCs w:val="24"/>
        </w:rPr>
        <w:t>该工序产生有机废气、废包装桶、噪声。</w:t>
      </w:r>
    </w:p>
    <w:p>
      <w:pPr>
        <w:pStyle w:val="37"/>
        <w:rPr>
          <w:color w:val="auto"/>
          <w:highlight w:val="yellow"/>
        </w:rPr>
      </w:pPr>
      <w:r>
        <w:rPr>
          <w:rFonts w:hint="eastAsia"/>
          <w:color w:val="auto"/>
        </w:rPr>
        <w:drawing>
          <wp:inline distT="0" distB="0" distL="114300" distR="114300">
            <wp:extent cx="5225415" cy="7287895"/>
            <wp:effectExtent l="0" t="0" r="10160" b="9525"/>
            <wp:docPr id="8" name="图片 8" descr="不锈钢喷粉大门工艺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不锈钢喷粉大门工艺流程图"/>
                    <pic:cNvPicPr>
                      <a:picLocks noChangeAspect="1"/>
                    </pic:cNvPicPr>
                  </pic:nvPicPr>
                  <pic:blipFill>
                    <a:blip r:embed="rId18"/>
                    <a:stretch>
                      <a:fillRect/>
                    </a:stretch>
                  </pic:blipFill>
                  <pic:spPr>
                    <a:xfrm>
                      <a:off x="0" y="0"/>
                      <a:ext cx="5225415" cy="7287895"/>
                    </a:xfrm>
                    <a:prstGeom prst="rect">
                      <a:avLst/>
                    </a:prstGeom>
                  </pic:spPr>
                </pic:pic>
              </a:graphicData>
            </a:graphic>
          </wp:inline>
        </w:drawing>
      </w:r>
      <w:r>
        <w:rPr>
          <w:rFonts w:hint="eastAsia"/>
          <w:color w:val="auto"/>
        </w:rPr>
        <w:t>图3.6-2 不锈钢喷粉大门生产工艺流程及产污环节图</w:t>
      </w:r>
    </w:p>
    <w:p>
      <w:pPr>
        <w:autoSpaceDE w:val="0"/>
        <w:autoSpaceDN w:val="0"/>
        <w:adjustRightInd w:val="0"/>
        <w:snapToGrid w:val="0"/>
        <w:ind w:firstLine="482"/>
        <w:jc w:val="left"/>
        <w:rPr>
          <w:rFonts w:hint="eastAsia" w:ascii="宋体" w:hAnsi="宋体" w:cs="Times New Roman"/>
          <w:b/>
          <w:bCs/>
          <w:color w:val="auto"/>
          <w:szCs w:val="24"/>
        </w:rPr>
      </w:pPr>
    </w:p>
    <w:p>
      <w:pPr>
        <w:autoSpaceDE w:val="0"/>
        <w:autoSpaceDN w:val="0"/>
        <w:adjustRightInd w:val="0"/>
        <w:snapToGrid w:val="0"/>
        <w:ind w:firstLine="482"/>
        <w:jc w:val="left"/>
        <w:rPr>
          <w:rFonts w:hint="eastAsia" w:ascii="宋体" w:hAnsi="宋体" w:cs="Times New Roman"/>
          <w:b/>
          <w:bCs/>
          <w:color w:val="auto"/>
          <w:szCs w:val="24"/>
        </w:rPr>
      </w:pPr>
      <w:r>
        <w:rPr>
          <w:rFonts w:hint="eastAsia" w:ascii="宋体" w:hAnsi="宋体" w:cs="Times New Roman"/>
          <w:b/>
          <w:bCs/>
          <w:color w:val="auto"/>
          <w:szCs w:val="24"/>
        </w:rPr>
        <w:t>生产工艺说明：</w:t>
      </w:r>
    </w:p>
    <w:p>
      <w:pPr>
        <w:autoSpaceDE w:val="0"/>
        <w:autoSpaceDN w:val="0"/>
        <w:adjustRightInd w:val="0"/>
        <w:snapToGrid w:val="0"/>
        <w:ind w:firstLine="480"/>
        <w:jc w:val="left"/>
        <w:rPr>
          <w:rFonts w:hint="eastAsia" w:ascii="宋体" w:hAnsi="宋体" w:cs="Times New Roman"/>
          <w:b/>
          <w:bCs/>
          <w:color w:val="auto"/>
          <w:szCs w:val="24"/>
        </w:rPr>
      </w:pPr>
      <w:r>
        <w:rPr>
          <w:rFonts w:hint="eastAsia" w:ascii="宋体" w:hAnsi="宋体" w:cs="宋体"/>
          <w:color w:val="auto"/>
          <w:kern w:val="0"/>
          <w:szCs w:val="24"/>
        </w:rPr>
        <w:t>（</w:t>
      </w:r>
      <w:r>
        <w:rPr>
          <w:rFonts w:cs="Times New Roman"/>
          <w:color w:val="auto"/>
          <w:kern w:val="0"/>
          <w:szCs w:val="24"/>
        </w:rPr>
        <w:t>1</w:t>
      </w:r>
      <w:r>
        <w:rPr>
          <w:rFonts w:ascii="宋体" w:hAnsi="宋体" w:cs="Times New Roman"/>
          <w:color w:val="auto"/>
          <w:kern w:val="0"/>
          <w:szCs w:val="24"/>
        </w:rPr>
        <w:t>）</w:t>
      </w:r>
      <w:r>
        <w:rPr>
          <w:rFonts w:hint="eastAsia" w:ascii="宋体" w:hAnsi="宋体" w:cs="Times New Roman"/>
          <w:color w:val="auto"/>
          <w:kern w:val="0"/>
          <w:szCs w:val="24"/>
        </w:rPr>
        <w:t>开</w:t>
      </w:r>
      <w:r>
        <w:rPr>
          <w:rFonts w:ascii="宋体" w:hAnsi="宋体" w:cs="Times New Roman"/>
          <w:color w:val="auto"/>
          <w:kern w:val="0"/>
          <w:szCs w:val="24"/>
        </w:rPr>
        <w:t>料：</w:t>
      </w:r>
      <w:r>
        <w:rPr>
          <w:rFonts w:hint="eastAsia" w:ascii="宋体" w:hAnsi="宋体" w:cs="Times New Roman"/>
          <w:color w:val="auto"/>
          <w:kern w:val="0"/>
          <w:szCs w:val="24"/>
        </w:rPr>
        <w:t>外购的不锈钢卷带、铝材使用剪板机、激光切割机按照特定的设计进行剪板、切割下料</w:t>
      </w:r>
      <w:r>
        <w:rPr>
          <w:rFonts w:ascii="宋体" w:hAnsi="宋体" w:cs="Times New Roman"/>
          <w:color w:val="auto"/>
          <w:kern w:val="0"/>
          <w:szCs w:val="24"/>
        </w:rPr>
        <w:t>。</w:t>
      </w:r>
      <w:r>
        <w:rPr>
          <w:rFonts w:hint="eastAsia" w:ascii="宋体" w:hAnsi="宋体" w:cs="Times New Roman"/>
          <w:color w:val="auto"/>
          <w:kern w:val="0"/>
          <w:szCs w:val="24"/>
        </w:rPr>
        <w:t>剪板机利用液压系统产生巨大直线推力完成剪切。</w:t>
      </w:r>
      <w:r>
        <w:rPr>
          <w:rFonts w:ascii="宋体" w:hAnsi="宋体" w:cs="Times New Roman"/>
          <w:color w:val="auto"/>
          <w:kern w:val="0"/>
          <w:szCs w:val="24"/>
        </w:rPr>
        <w:t>该工序</w:t>
      </w:r>
      <w:r>
        <w:rPr>
          <w:rFonts w:hint="eastAsia" w:ascii="宋体" w:hAnsi="宋体" w:cs="Times New Roman"/>
          <w:color w:val="auto"/>
          <w:kern w:val="0"/>
          <w:szCs w:val="24"/>
        </w:rPr>
        <w:t>会</w:t>
      </w:r>
      <w:r>
        <w:rPr>
          <w:rFonts w:ascii="宋体" w:hAnsi="宋体" w:cs="Times New Roman"/>
          <w:color w:val="auto"/>
          <w:kern w:val="0"/>
          <w:szCs w:val="24"/>
        </w:rPr>
        <w:t>产生</w:t>
      </w:r>
      <w:r>
        <w:rPr>
          <w:rFonts w:hint="eastAsia" w:ascii="宋体" w:hAnsi="宋体" w:cs="Times New Roman"/>
          <w:color w:val="auto"/>
          <w:kern w:val="0"/>
          <w:szCs w:val="24"/>
        </w:rPr>
        <w:t>粉尘、废液压油、</w:t>
      </w:r>
      <w:r>
        <w:rPr>
          <w:rFonts w:ascii="宋体" w:hAnsi="宋体" w:cs="Times New Roman"/>
          <w:color w:val="auto"/>
          <w:kern w:val="0"/>
          <w:szCs w:val="24"/>
        </w:rPr>
        <w:t>边角料</w:t>
      </w:r>
      <w:r>
        <w:rPr>
          <w:rFonts w:hint="eastAsia" w:ascii="宋体" w:hAnsi="宋体" w:cs="Times New Roman"/>
          <w:color w:val="auto"/>
          <w:kern w:val="0"/>
          <w:szCs w:val="24"/>
        </w:rPr>
        <w:t>、废包装桶、噪声</w:t>
      </w:r>
      <w:r>
        <w:rPr>
          <w:rFonts w:ascii="宋体" w:hAnsi="宋体" w:cs="Times New Roman"/>
          <w:color w:val="auto"/>
          <w:kern w:val="0"/>
          <w:szCs w:val="24"/>
        </w:rPr>
        <w:t>。</w:t>
      </w:r>
    </w:p>
    <w:p>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80"/>
        <w:rPr>
          <w:rFonts w:cs="Times New Roman"/>
          <w:color w:val="auto"/>
          <w:kern w:val="0"/>
          <w:szCs w:val="24"/>
        </w:rPr>
      </w:pPr>
      <w:r>
        <w:rPr>
          <w:rFonts w:ascii="宋体" w:hAnsi="宋体" w:cs="Times New Roman"/>
          <w:color w:val="auto"/>
          <w:kern w:val="0"/>
          <w:szCs w:val="24"/>
        </w:rPr>
        <w:t>（</w:t>
      </w:r>
      <w:r>
        <w:rPr>
          <w:rFonts w:cs="Times New Roman"/>
          <w:color w:val="auto"/>
          <w:kern w:val="0"/>
          <w:szCs w:val="24"/>
        </w:rPr>
        <w:t>2</w:t>
      </w:r>
      <w:r>
        <w:rPr>
          <w:rFonts w:ascii="宋体" w:hAnsi="宋体" w:cs="Times New Roman"/>
          <w:color w:val="auto"/>
          <w:kern w:val="0"/>
          <w:szCs w:val="24"/>
        </w:rPr>
        <w:t>）</w:t>
      </w:r>
      <w:r>
        <w:rPr>
          <w:rFonts w:hint="eastAsia" w:ascii="宋体" w:hAnsi="宋体" w:cs="Times New Roman"/>
          <w:color w:val="auto"/>
          <w:kern w:val="0"/>
          <w:szCs w:val="24"/>
        </w:rPr>
        <w:t>刨槽</w:t>
      </w:r>
      <w:r>
        <w:rPr>
          <w:rFonts w:ascii="宋体" w:hAnsi="宋体" w:cs="Times New Roman"/>
          <w:color w:val="auto"/>
          <w:kern w:val="0"/>
          <w:szCs w:val="24"/>
        </w:rPr>
        <w:t>：</w:t>
      </w:r>
      <w:r>
        <w:rPr>
          <w:rFonts w:hint="eastAsia" w:ascii="宋体" w:hAnsi="宋体" w:cs="Times New Roman"/>
          <w:color w:val="auto"/>
          <w:kern w:val="0"/>
          <w:szCs w:val="24"/>
        </w:rPr>
        <w:t>在需要折弯的位置背面通过刨槽机刨削出一条</w:t>
      </w:r>
      <w:r>
        <w:rPr>
          <w:rFonts w:hint="eastAsia" w:cs="Times New Roman"/>
          <w:color w:val="auto"/>
          <w:kern w:val="0"/>
          <w:szCs w:val="24"/>
        </w:rPr>
        <w:t>V</w:t>
      </w:r>
      <w:r>
        <w:rPr>
          <w:rFonts w:hint="eastAsia" w:ascii="宋体" w:hAnsi="宋体" w:cs="Times New Roman"/>
          <w:color w:val="auto"/>
          <w:kern w:val="0"/>
          <w:szCs w:val="24"/>
        </w:rPr>
        <w:t>型槽</w:t>
      </w:r>
      <w:r>
        <w:rPr>
          <w:rFonts w:ascii="宋体" w:hAnsi="宋体" w:cs="Times New Roman"/>
          <w:color w:val="auto"/>
          <w:kern w:val="0"/>
          <w:szCs w:val="24"/>
        </w:rPr>
        <w:t>。</w:t>
      </w:r>
      <w:r>
        <w:rPr>
          <w:rFonts w:hint="eastAsia" w:ascii="宋体" w:hAnsi="宋体" w:cs="Times New Roman"/>
          <w:color w:val="auto"/>
          <w:kern w:val="0"/>
          <w:szCs w:val="24"/>
        </w:rPr>
        <w:t>该工序会产生</w:t>
      </w:r>
      <w:r>
        <w:rPr>
          <w:rFonts w:ascii="宋体" w:hAnsi="宋体" w:cs="Times New Roman"/>
          <w:color w:val="auto"/>
          <w:kern w:val="0"/>
          <w:szCs w:val="24"/>
        </w:rPr>
        <w:t>边角料</w:t>
      </w:r>
      <w:r>
        <w:rPr>
          <w:rFonts w:hint="eastAsia" w:ascii="宋体" w:hAnsi="宋体" w:cs="Times New Roman"/>
          <w:color w:val="auto"/>
          <w:kern w:val="0"/>
          <w:szCs w:val="24"/>
        </w:rPr>
        <w:t>、噪声。</w:t>
      </w:r>
    </w:p>
    <w:p>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80"/>
        <w:rPr>
          <w:rFonts w:cs="Times New Roman"/>
          <w:color w:val="auto"/>
          <w:kern w:val="0"/>
          <w:szCs w:val="24"/>
        </w:rPr>
      </w:pPr>
      <w:r>
        <w:rPr>
          <w:rFonts w:ascii="宋体" w:hAnsi="宋体" w:cs="Times New Roman"/>
          <w:color w:val="auto"/>
          <w:kern w:val="0"/>
          <w:szCs w:val="24"/>
        </w:rPr>
        <w:t>（</w:t>
      </w:r>
      <w:r>
        <w:rPr>
          <w:rFonts w:cs="Times New Roman"/>
          <w:color w:val="auto"/>
          <w:kern w:val="0"/>
          <w:szCs w:val="24"/>
        </w:rPr>
        <w:t>3</w:t>
      </w:r>
      <w:r>
        <w:rPr>
          <w:rFonts w:ascii="宋体" w:hAnsi="宋体" w:cs="Times New Roman"/>
          <w:color w:val="auto"/>
          <w:kern w:val="0"/>
          <w:szCs w:val="24"/>
        </w:rPr>
        <w:t>）</w:t>
      </w:r>
      <w:r>
        <w:rPr>
          <w:rFonts w:hint="eastAsia" w:ascii="宋体" w:hAnsi="宋体" w:cs="Times New Roman"/>
          <w:color w:val="auto"/>
          <w:kern w:val="0"/>
          <w:szCs w:val="24"/>
        </w:rPr>
        <w:t>折弯</w:t>
      </w:r>
      <w:r>
        <w:rPr>
          <w:rFonts w:ascii="宋体" w:hAnsi="宋体" w:cs="Times New Roman"/>
          <w:color w:val="auto"/>
          <w:kern w:val="0"/>
          <w:szCs w:val="24"/>
        </w:rPr>
        <w:t>：</w:t>
      </w:r>
      <w:r>
        <w:rPr>
          <w:rFonts w:hint="eastAsia" w:ascii="宋体" w:hAnsi="宋体" w:cs="Times New Roman"/>
          <w:color w:val="auto"/>
          <w:kern w:val="0"/>
          <w:szCs w:val="24"/>
        </w:rPr>
        <w:t>使用开平机消除板材内应力，矫正平面度，做成平整板材，再通过折弯机沿刨槽线进行角度折弯成型</w:t>
      </w:r>
      <w:r>
        <w:rPr>
          <w:rFonts w:ascii="宋体" w:hAnsi="宋体" w:cs="Times New Roman"/>
          <w:color w:val="auto"/>
          <w:kern w:val="0"/>
          <w:szCs w:val="24"/>
        </w:rPr>
        <w:t>。</w:t>
      </w:r>
      <w:r>
        <w:rPr>
          <w:rFonts w:hint="eastAsia" w:ascii="宋体" w:hAnsi="宋体" w:cs="Times New Roman"/>
          <w:color w:val="auto"/>
          <w:kern w:val="0"/>
          <w:szCs w:val="24"/>
        </w:rPr>
        <w:t>折弯机利用液压系统高效传力进行折弯。该工序会产生废液压油、</w:t>
      </w:r>
      <w:r>
        <w:rPr>
          <w:rFonts w:ascii="宋体" w:hAnsi="宋体" w:cs="Times New Roman"/>
          <w:color w:val="auto"/>
          <w:kern w:val="0"/>
          <w:szCs w:val="24"/>
        </w:rPr>
        <w:t>边角料</w:t>
      </w:r>
      <w:r>
        <w:rPr>
          <w:rFonts w:hint="eastAsia" w:ascii="宋体" w:hAnsi="宋体" w:cs="Times New Roman"/>
          <w:color w:val="auto"/>
          <w:kern w:val="0"/>
          <w:szCs w:val="24"/>
        </w:rPr>
        <w:t>、废包装桶、噪声。</w:t>
      </w:r>
    </w:p>
    <w:p>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80"/>
        <w:rPr>
          <w:rFonts w:cs="Times New Roman"/>
          <w:color w:val="auto"/>
          <w:kern w:val="0"/>
          <w:szCs w:val="24"/>
        </w:rPr>
      </w:pPr>
      <w:r>
        <w:rPr>
          <w:rFonts w:ascii="宋体" w:hAnsi="宋体" w:cs="Times New Roman"/>
          <w:color w:val="auto"/>
          <w:kern w:val="0"/>
          <w:szCs w:val="24"/>
        </w:rPr>
        <w:t>（</w:t>
      </w:r>
      <w:r>
        <w:rPr>
          <w:rFonts w:cs="Times New Roman"/>
          <w:color w:val="auto"/>
          <w:kern w:val="0"/>
          <w:szCs w:val="24"/>
        </w:rPr>
        <w:t>4</w:t>
      </w:r>
      <w:r>
        <w:rPr>
          <w:rFonts w:ascii="宋体" w:hAnsi="宋体" w:cs="Times New Roman"/>
          <w:color w:val="auto"/>
          <w:kern w:val="0"/>
          <w:szCs w:val="24"/>
        </w:rPr>
        <w:t>）</w:t>
      </w:r>
      <w:r>
        <w:rPr>
          <w:rFonts w:hint="eastAsia" w:ascii="宋体" w:hAnsi="宋体" w:cs="Times New Roman"/>
          <w:color w:val="auto"/>
          <w:kern w:val="0"/>
          <w:szCs w:val="24"/>
        </w:rPr>
        <w:t>冲孔</w:t>
      </w:r>
      <w:r>
        <w:rPr>
          <w:rFonts w:ascii="宋体" w:hAnsi="宋体" w:cs="Times New Roman"/>
          <w:color w:val="auto"/>
          <w:kern w:val="0"/>
          <w:szCs w:val="24"/>
        </w:rPr>
        <w:t>：</w:t>
      </w:r>
      <w:r>
        <w:rPr>
          <w:rFonts w:hint="eastAsia" w:ascii="宋体" w:hAnsi="宋体" w:cs="Times New Roman"/>
          <w:color w:val="auto"/>
          <w:kern w:val="0"/>
          <w:szCs w:val="24"/>
        </w:rPr>
        <w:t>使用冲床对板材冲孔，包括锁孔、合页孔、插销孔等</w:t>
      </w:r>
      <w:r>
        <w:rPr>
          <w:rFonts w:ascii="宋体" w:hAnsi="宋体" w:cs="Times New Roman"/>
          <w:color w:val="auto"/>
          <w:kern w:val="0"/>
          <w:szCs w:val="24"/>
        </w:rPr>
        <w:t>。</w:t>
      </w:r>
      <w:r>
        <w:rPr>
          <w:rFonts w:hint="eastAsia" w:ascii="宋体" w:hAnsi="宋体" w:cs="Times New Roman"/>
          <w:color w:val="auto"/>
          <w:kern w:val="0"/>
          <w:szCs w:val="24"/>
        </w:rPr>
        <w:t>冲床是利用液压油传递压力实现不锈钢板材冲孔成型。冲孔后需要使用线割机进行修边，线割机使用乳化油进行润滑和冷却。该工序会产生有机废气、边角料、沾有乳化油的金属碎屑、废乳化油、废液压油、废包装桶、噪声。</w:t>
      </w:r>
    </w:p>
    <w:p>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80"/>
        <w:rPr>
          <w:rFonts w:cs="Times New Roman"/>
          <w:color w:val="auto"/>
          <w:kern w:val="0"/>
          <w:szCs w:val="24"/>
        </w:rPr>
      </w:pPr>
      <w:r>
        <w:rPr>
          <w:rFonts w:hint="eastAsia" w:ascii="宋体" w:hAnsi="宋体" w:cs="Times New Roman"/>
          <w:color w:val="auto"/>
          <w:kern w:val="0"/>
          <w:szCs w:val="24"/>
        </w:rPr>
        <w:t>（</w:t>
      </w:r>
      <w:r>
        <w:rPr>
          <w:rFonts w:hint="eastAsia" w:cs="Times New Roman"/>
          <w:color w:val="auto"/>
          <w:kern w:val="0"/>
          <w:szCs w:val="24"/>
        </w:rPr>
        <w:t>5</w:t>
      </w:r>
      <w:r>
        <w:rPr>
          <w:rFonts w:hint="eastAsia" w:ascii="宋体" w:hAnsi="宋体" w:cs="Times New Roman"/>
          <w:color w:val="auto"/>
          <w:kern w:val="0"/>
          <w:szCs w:val="24"/>
        </w:rPr>
        <w:t>）焊框：折弯及冲孔后的部件</w:t>
      </w:r>
      <w:r>
        <w:rPr>
          <w:rFonts w:hint="eastAsia" w:ascii="宋体" w:hAnsi="宋体" w:cs="宋体"/>
          <w:color w:val="auto"/>
          <w:kern w:val="0"/>
          <w:szCs w:val="24"/>
        </w:rPr>
        <w:t>使用氩弧焊机焊接成门扇框架、门框。</w:t>
      </w:r>
      <w:r>
        <w:rPr>
          <w:rFonts w:ascii="宋体" w:hAnsi="宋体" w:cs="Times New Roman"/>
          <w:color w:val="auto"/>
          <w:kern w:val="0"/>
          <w:szCs w:val="24"/>
        </w:rPr>
        <w:t>该工序产生</w:t>
      </w:r>
      <w:r>
        <w:rPr>
          <w:rFonts w:hint="eastAsia" w:ascii="宋体" w:hAnsi="宋体" w:cs="Times New Roman"/>
          <w:color w:val="auto"/>
          <w:kern w:val="0"/>
          <w:szCs w:val="24"/>
        </w:rPr>
        <w:t>焊接烟尘、焊渣、噪声。</w:t>
      </w:r>
      <w:r>
        <w:rPr>
          <w:rFonts w:hint="eastAsia" w:cs="Times New Roman"/>
          <w:color w:val="auto"/>
          <w:kern w:val="0"/>
          <w:szCs w:val="24"/>
        </w:rPr>
        <w:t xml:space="preserve"> </w:t>
      </w:r>
    </w:p>
    <w:p>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80"/>
        <w:rPr>
          <w:rFonts w:cs="Times New Roman"/>
          <w:color w:val="auto"/>
          <w:kern w:val="0"/>
          <w:szCs w:val="24"/>
        </w:rPr>
      </w:pPr>
      <w:r>
        <w:rPr>
          <w:rFonts w:ascii="宋体" w:hAnsi="宋体" w:cs="Times New Roman"/>
          <w:color w:val="auto"/>
          <w:kern w:val="0"/>
          <w:szCs w:val="24"/>
        </w:rPr>
        <w:t>（</w:t>
      </w:r>
      <w:r>
        <w:rPr>
          <w:rFonts w:hint="eastAsia" w:cs="Times New Roman"/>
          <w:color w:val="auto"/>
          <w:kern w:val="0"/>
          <w:szCs w:val="24"/>
        </w:rPr>
        <w:t>6</w:t>
      </w:r>
      <w:r>
        <w:rPr>
          <w:rFonts w:ascii="宋体" w:hAnsi="宋体" w:cs="Times New Roman"/>
          <w:color w:val="auto"/>
          <w:kern w:val="0"/>
          <w:szCs w:val="24"/>
        </w:rPr>
        <w:t>）</w:t>
      </w:r>
      <w:r>
        <w:rPr>
          <w:rFonts w:hint="eastAsia" w:ascii="宋体" w:hAnsi="宋体" w:cs="Times New Roman"/>
          <w:color w:val="auto"/>
          <w:kern w:val="0"/>
          <w:szCs w:val="24"/>
        </w:rPr>
        <w:t>胶合</w:t>
      </w:r>
      <w:r>
        <w:rPr>
          <w:rFonts w:ascii="宋体" w:hAnsi="宋体" w:cs="Times New Roman"/>
          <w:color w:val="auto"/>
          <w:kern w:val="0"/>
          <w:szCs w:val="24"/>
        </w:rPr>
        <w:t>：</w:t>
      </w:r>
      <w:r>
        <w:rPr>
          <w:rFonts w:hint="eastAsia" w:ascii="宋体" w:hAnsi="宋体" w:cs="Times New Roman"/>
          <w:color w:val="auto"/>
          <w:kern w:val="0"/>
          <w:szCs w:val="24"/>
        </w:rPr>
        <w:t>在门扇内部通过人工涂上一层粘合剂，将蜂窝板、蜂窝纸填充进去，然后通过胶合机进行加热固化处理，温度控制在</w:t>
      </w:r>
      <w:r>
        <w:rPr>
          <w:rFonts w:hint="eastAsia" w:cs="Times New Roman"/>
          <w:color w:val="auto"/>
          <w:kern w:val="0"/>
          <w:szCs w:val="24"/>
        </w:rPr>
        <w:t>68</w:t>
      </w:r>
      <w:r>
        <w:rPr>
          <w:rFonts w:hint="eastAsia" w:ascii="宋体" w:hAnsi="宋体" w:cs="Times New Roman"/>
          <w:color w:val="auto"/>
          <w:kern w:val="0"/>
          <w:szCs w:val="24"/>
        </w:rPr>
        <w:t>℃，加热时间为</w:t>
      </w:r>
      <w:r>
        <w:rPr>
          <w:rFonts w:hint="eastAsia" w:cs="Times New Roman"/>
          <w:color w:val="auto"/>
          <w:kern w:val="0"/>
          <w:szCs w:val="24"/>
        </w:rPr>
        <w:t>50</w:t>
      </w:r>
      <w:r>
        <w:rPr>
          <w:rFonts w:hint="eastAsia" w:ascii="宋体" w:hAnsi="宋体" w:cs="Times New Roman"/>
          <w:color w:val="auto"/>
          <w:kern w:val="0"/>
          <w:szCs w:val="24"/>
        </w:rPr>
        <w:t>分钟，使填充物与不锈钢门粘合。胶合机工作原理通过循环热水间接将热量均匀传递至加热板，再传导给胶合板材，使胶水在设定温度下固化，同时通过液压系统驱动压板闭合，对叠放的板材施加高压，确保胶层无气泡、板材间紧密接触。胶合冷却后的板材利用</w:t>
      </w:r>
      <w:r>
        <w:rPr>
          <w:rFonts w:hint="eastAsia" w:ascii="宋体" w:hAnsi="宋体" w:cs="宋体"/>
          <w:color w:val="auto"/>
          <w:kern w:val="0"/>
          <w:szCs w:val="24"/>
        </w:rPr>
        <w:t>氩弧焊机对门框缝及包边进行焊接加固</w:t>
      </w:r>
      <w:r>
        <w:rPr>
          <w:rFonts w:hint="eastAsia" w:ascii="宋体" w:hAnsi="宋体" w:cs="Times New Roman"/>
          <w:color w:val="auto"/>
          <w:kern w:val="0"/>
          <w:szCs w:val="24"/>
        </w:rPr>
        <w:t>，最后利用手磨机去除焊疤、胶痕，实现表面平整。</w:t>
      </w:r>
      <w:r>
        <w:rPr>
          <w:rFonts w:ascii="宋体" w:hAnsi="宋体" w:cs="Times New Roman"/>
          <w:color w:val="auto"/>
          <w:kern w:val="0"/>
          <w:szCs w:val="24"/>
        </w:rPr>
        <w:t>该工序产生</w:t>
      </w:r>
      <w:r>
        <w:rPr>
          <w:rFonts w:hint="eastAsia" w:ascii="宋体" w:hAnsi="宋体" w:cs="Times New Roman"/>
          <w:color w:val="auto"/>
          <w:kern w:val="0"/>
          <w:szCs w:val="24"/>
        </w:rPr>
        <w:t>有机废气、粉尘、焊接烟尘、焊渣、废液压油、废包装桶、噪声。</w:t>
      </w:r>
    </w:p>
    <w:p>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80"/>
        <w:rPr>
          <w:rFonts w:cs="Times New Roman"/>
          <w:color w:val="auto"/>
          <w:kern w:val="0"/>
          <w:szCs w:val="24"/>
        </w:rPr>
      </w:pPr>
      <w:r>
        <w:rPr>
          <w:rFonts w:ascii="宋体" w:hAnsi="宋体" w:cs="Times New Roman"/>
          <w:color w:val="auto"/>
          <w:kern w:val="0"/>
          <w:szCs w:val="24"/>
        </w:rPr>
        <w:t>（</w:t>
      </w:r>
      <w:r>
        <w:rPr>
          <w:rFonts w:hint="eastAsia" w:cs="Times New Roman"/>
          <w:color w:val="auto"/>
          <w:kern w:val="0"/>
          <w:szCs w:val="24"/>
        </w:rPr>
        <w:t>7</w:t>
      </w:r>
      <w:r>
        <w:rPr>
          <w:rFonts w:ascii="宋体" w:hAnsi="宋体" w:cs="Times New Roman"/>
          <w:color w:val="auto"/>
          <w:kern w:val="0"/>
          <w:szCs w:val="24"/>
        </w:rPr>
        <w:t>）</w:t>
      </w:r>
      <w:r>
        <w:rPr>
          <w:rFonts w:hint="eastAsia" w:ascii="宋体" w:hAnsi="宋体" w:cs="Times New Roman"/>
          <w:color w:val="auto"/>
          <w:kern w:val="0"/>
          <w:szCs w:val="24"/>
        </w:rPr>
        <w:t>门扇封花</w:t>
      </w:r>
      <w:r>
        <w:rPr>
          <w:rFonts w:ascii="宋体" w:hAnsi="宋体" w:cs="Times New Roman"/>
          <w:color w:val="auto"/>
          <w:kern w:val="0"/>
          <w:szCs w:val="24"/>
        </w:rPr>
        <w:t>：</w:t>
      </w:r>
      <w:r>
        <w:rPr>
          <w:rFonts w:hint="eastAsia" w:ascii="宋体" w:hAnsi="宋体" w:cs="Times New Roman"/>
          <w:color w:val="auto"/>
          <w:kern w:val="0"/>
          <w:szCs w:val="24"/>
        </w:rPr>
        <w:t>将外购的压花件通过</w:t>
      </w:r>
      <w:r>
        <w:rPr>
          <w:rFonts w:hint="eastAsia" w:ascii="宋体" w:hAnsi="宋体" w:cs="宋体"/>
          <w:color w:val="auto"/>
          <w:kern w:val="0"/>
          <w:szCs w:val="24"/>
        </w:rPr>
        <w:t>氩弧焊机焊接在门扇表面，并通过手磨机打磨实现纹理融合</w:t>
      </w:r>
      <w:r>
        <w:rPr>
          <w:rFonts w:ascii="宋体" w:hAnsi="宋体" w:cs="Times New Roman"/>
          <w:color w:val="auto"/>
          <w:kern w:val="0"/>
          <w:szCs w:val="24"/>
        </w:rPr>
        <w:t>。该工序产生粉尘</w:t>
      </w:r>
      <w:r>
        <w:rPr>
          <w:rFonts w:hint="eastAsia" w:ascii="宋体" w:hAnsi="宋体" w:cs="Times New Roman"/>
          <w:color w:val="auto"/>
          <w:kern w:val="0"/>
          <w:szCs w:val="24"/>
        </w:rPr>
        <w:t>、焊接烟尘、焊渣、噪声</w:t>
      </w:r>
      <w:r>
        <w:rPr>
          <w:rFonts w:ascii="宋体" w:hAnsi="宋体" w:cs="Times New Roman"/>
          <w:color w:val="auto"/>
          <w:kern w:val="0"/>
          <w:szCs w:val="24"/>
        </w:rPr>
        <w:t>。</w:t>
      </w:r>
    </w:p>
    <w:p>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80"/>
        <w:rPr>
          <w:rFonts w:cs="Times New Roman"/>
          <w:color w:val="auto"/>
          <w:kern w:val="0"/>
          <w:szCs w:val="24"/>
        </w:rPr>
      </w:pPr>
      <w:r>
        <w:rPr>
          <w:rFonts w:ascii="宋体" w:hAnsi="宋体" w:cs="Times New Roman"/>
          <w:color w:val="auto"/>
          <w:kern w:val="0"/>
          <w:szCs w:val="24"/>
        </w:rPr>
        <w:t>（</w:t>
      </w:r>
      <w:r>
        <w:rPr>
          <w:rFonts w:hint="eastAsia" w:cs="Times New Roman"/>
          <w:color w:val="auto"/>
          <w:kern w:val="0"/>
          <w:szCs w:val="24"/>
        </w:rPr>
        <w:t>8</w:t>
      </w:r>
      <w:r>
        <w:rPr>
          <w:rFonts w:ascii="宋体" w:hAnsi="宋体" w:cs="Times New Roman"/>
          <w:color w:val="auto"/>
          <w:kern w:val="0"/>
          <w:szCs w:val="24"/>
        </w:rPr>
        <w:t>）</w:t>
      </w:r>
      <w:r>
        <w:rPr>
          <w:rFonts w:hint="eastAsia" w:ascii="宋体" w:hAnsi="宋体" w:cs="Times New Roman"/>
          <w:color w:val="auto"/>
          <w:kern w:val="0"/>
          <w:szCs w:val="24"/>
        </w:rPr>
        <w:t>焊罗马头</w:t>
      </w:r>
      <w:r>
        <w:rPr>
          <w:rFonts w:ascii="宋体" w:hAnsi="宋体" w:cs="Times New Roman"/>
          <w:color w:val="auto"/>
          <w:kern w:val="0"/>
          <w:szCs w:val="24"/>
        </w:rPr>
        <w:t>：</w:t>
      </w:r>
      <w:r>
        <w:rPr>
          <w:rFonts w:hint="eastAsia" w:ascii="宋体" w:hAnsi="宋体" w:cs="Times New Roman"/>
          <w:color w:val="auto"/>
          <w:kern w:val="0"/>
          <w:szCs w:val="24"/>
        </w:rPr>
        <w:t>不锈钢端头利用罗马头滚花机加工装饰性滚花纹路，再通过</w:t>
      </w:r>
      <w:r>
        <w:rPr>
          <w:rFonts w:hint="eastAsia" w:ascii="宋体" w:hAnsi="宋体" w:cs="宋体"/>
          <w:color w:val="auto"/>
          <w:kern w:val="0"/>
          <w:szCs w:val="24"/>
        </w:rPr>
        <w:t>氩弧焊机焊接至门框立柱</w:t>
      </w:r>
      <w:r>
        <w:rPr>
          <w:rFonts w:hint="eastAsia" w:ascii="宋体" w:hAnsi="宋体" w:cs="Times New Roman"/>
          <w:color w:val="auto"/>
          <w:kern w:val="0"/>
          <w:szCs w:val="24"/>
        </w:rPr>
        <w:t>，最后利用手磨机去除焊疤。</w:t>
      </w:r>
      <w:r>
        <w:rPr>
          <w:rFonts w:ascii="宋体" w:hAnsi="宋体" w:cs="Times New Roman"/>
          <w:color w:val="auto"/>
          <w:kern w:val="0"/>
          <w:szCs w:val="24"/>
        </w:rPr>
        <w:t>该工序产生</w:t>
      </w:r>
      <w:r>
        <w:rPr>
          <w:rFonts w:hint="eastAsia" w:ascii="宋体" w:hAnsi="宋体" w:cs="Times New Roman"/>
          <w:color w:val="auto"/>
          <w:kern w:val="0"/>
          <w:szCs w:val="24"/>
        </w:rPr>
        <w:t>粉尘、焊接烟尘、焊渣、噪声</w:t>
      </w:r>
      <w:r>
        <w:rPr>
          <w:rFonts w:ascii="宋体" w:hAnsi="宋体" w:cs="Times New Roman"/>
          <w:color w:val="auto"/>
          <w:kern w:val="0"/>
          <w:szCs w:val="24"/>
        </w:rPr>
        <w:t>。</w:t>
      </w:r>
    </w:p>
    <w:p>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12"/>
        <w:rPr>
          <w:rFonts w:cs="Times New Roman"/>
          <w:color w:val="auto"/>
          <w:kern w:val="0"/>
          <w:szCs w:val="24"/>
        </w:rPr>
      </w:pPr>
      <w:r>
        <w:rPr>
          <w:rFonts w:ascii="宋体" w:hAnsi="宋体" w:cs="Times New Roman"/>
          <w:color w:val="auto"/>
          <w:spacing w:val="8"/>
          <w:kern w:val="0"/>
          <w:szCs w:val="24"/>
        </w:rPr>
        <w:t>（</w:t>
      </w:r>
      <w:r>
        <w:rPr>
          <w:rFonts w:hint="eastAsia" w:cs="Times New Roman"/>
          <w:color w:val="auto"/>
          <w:spacing w:val="8"/>
          <w:kern w:val="0"/>
          <w:szCs w:val="24"/>
        </w:rPr>
        <w:t>9</w:t>
      </w:r>
      <w:r>
        <w:rPr>
          <w:rFonts w:ascii="宋体" w:hAnsi="宋体" w:cs="Times New Roman"/>
          <w:color w:val="auto"/>
          <w:spacing w:val="8"/>
          <w:kern w:val="0"/>
          <w:szCs w:val="24"/>
        </w:rPr>
        <w:t>）</w:t>
      </w:r>
      <w:r>
        <w:rPr>
          <w:rFonts w:hint="eastAsia" w:ascii="宋体" w:hAnsi="宋体" w:cs="Times New Roman"/>
          <w:color w:val="auto"/>
          <w:spacing w:val="8"/>
          <w:kern w:val="0"/>
          <w:szCs w:val="24"/>
        </w:rPr>
        <w:t>打磨</w:t>
      </w:r>
      <w:r>
        <w:rPr>
          <w:rFonts w:ascii="宋体" w:hAnsi="宋体" w:cs="Times New Roman"/>
          <w:color w:val="auto"/>
          <w:spacing w:val="8"/>
          <w:kern w:val="0"/>
          <w:szCs w:val="24"/>
        </w:rPr>
        <w:t>：</w:t>
      </w:r>
      <w:r>
        <w:rPr>
          <w:rFonts w:hint="eastAsia" w:ascii="宋体" w:hAnsi="宋体" w:cs="Times New Roman"/>
          <w:color w:val="auto"/>
          <w:spacing w:val="8"/>
          <w:kern w:val="0"/>
          <w:szCs w:val="24"/>
        </w:rPr>
        <w:t>使用气动打磨机对不锈钢门</w:t>
      </w:r>
      <w:r>
        <w:rPr>
          <w:rFonts w:ascii="Arial" w:hAnsi="Arial" w:cs="Arial"/>
          <w:color w:val="auto"/>
          <w:kern w:val="0"/>
          <w:szCs w:val="24"/>
          <w:shd w:val="clear" w:color="auto" w:fill="FFFFFF"/>
        </w:rPr>
        <w:t>表面</w:t>
      </w:r>
      <w:r>
        <w:rPr>
          <w:rFonts w:hint="eastAsia" w:ascii="宋体" w:hAnsi="宋体" w:cs="Arial"/>
          <w:color w:val="auto"/>
          <w:kern w:val="0"/>
          <w:szCs w:val="24"/>
          <w:shd w:val="clear" w:color="auto" w:fill="FFFFFF"/>
        </w:rPr>
        <w:t>进行</w:t>
      </w:r>
      <w:r>
        <w:rPr>
          <w:rFonts w:ascii="Arial" w:hAnsi="Arial" w:cs="Arial"/>
          <w:color w:val="auto"/>
          <w:kern w:val="0"/>
          <w:szCs w:val="24"/>
          <w:shd w:val="clear" w:color="auto" w:fill="FFFFFF"/>
        </w:rPr>
        <w:t>打磨、抛光、去毛刺和修整等</w:t>
      </w:r>
      <w:r>
        <w:rPr>
          <w:rFonts w:hint="eastAsia" w:ascii="宋体" w:hAnsi="宋体" w:cs="Times New Roman"/>
          <w:color w:val="auto"/>
          <w:spacing w:val="8"/>
          <w:kern w:val="0"/>
          <w:szCs w:val="24"/>
        </w:rPr>
        <w:t>。</w:t>
      </w:r>
      <w:r>
        <w:rPr>
          <w:rFonts w:ascii="宋体" w:hAnsi="宋体" w:cs="Times New Roman"/>
          <w:color w:val="auto"/>
          <w:kern w:val="0"/>
          <w:szCs w:val="24"/>
        </w:rPr>
        <w:t>该工序产生</w:t>
      </w:r>
      <w:r>
        <w:rPr>
          <w:rFonts w:hint="eastAsia" w:ascii="宋体" w:hAnsi="宋体" w:cs="Times New Roman"/>
          <w:color w:val="auto"/>
          <w:kern w:val="0"/>
          <w:szCs w:val="24"/>
        </w:rPr>
        <w:t>粉尘、金属碎屑、噪声</w:t>
      </w:r>
      <w:r>
        <w:rPr>
          <w:rFonts w:ascii="宋体" w:hAnsi="宋体" w:cs="Times New Roman"/>
          <w:color w:val="auto"/>
          <w:kern w:val="0"/>
          <w:szCs w:val="24"/>
        </w:rPr>
        <w:t>。</w:t>
      </w:r>
    </w:p>
    <w:p>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12"/>
        <w:rPr>
          <w:rFonts w:cs="Times New Roman"/>
          <w:color w:val="auto"/>
          <w:spacing w:val="8"/>
          <w:kern w:val="0"/>
          <w:szCs w:val="24"/>
        </w:rPr>
      </w:pPr>
      <w:r>
        <w:rPr>
          <w:rFonts w:ascii="宋体" w:hAnsi="宋体" w:cs="Times New Roman"/>
          <w:color w:val="auto"/>
          <w:spacing w:val="8"/>
          <w:kern w:val="0"/>
          <w:szCs w:val="24"/>
        </w:rPr>
        <w:t>（</w:t>
      </w:r>
      <w:r>
        <w:rPr>
          <w:rFonts w:hint="eastAsia" w:cs="Times New Roman"/>
          <w:color w:val="auto"/>
          <w:spacing w:val="8"/>
          <w:kern w:val="0"/>
          <w:szCs w:val="24"/>
        </w:rPr>
        <w:t>10</w:t>
      </w:r>
      <w:r>
        <w:rPr>
          <w:rFonts w:ascii="宋体" w:hAnsi="宋体" w:cs="Times New Roman"/>
          <w:color w:val="auto"/>
          <w:spacing w:val="8"/>
          <w:kern w:val="0"/>
          <w:szCs w:val="24"/>
        </w:rPr>
        <w:t>）</w:t>
      </w:r>
      <w:r>
        <w:rPr>
          <w:rFonts w:hint="eastAsia" w:ascii="宋体" w:hAnsi="宋体" w:cs="Times New Roman"/>
          <w:color w:val="auto"/>
          <w:spacing w:val="8"/>
          <w:kern w:val="0"/>
          <w:szCs w:val="24"/>
        </w:rPr>
        <w:t>清抹</w:t>
      </w:r>
      <w:r>
        <w:rPr>
          <w:rFonts w:ascii="宋体" w:hAnsi="宋体" w:cs="Times New Roman"/>
          <w:color w:val="auto"/>
          <w:spacing w:val="8"/>
          <w:kern w:val="0"/>
          <w:szCs w:val="24"/>
        </w:rPr>
        <w:t>：</w:t>
      </w:r>
      <w:r>
        <w:rPr>
          <w:rFonts w:hint="eastAsia" w:ascii="宋体" w:hAnsi="宋体" w:cs="Times New Roman"/>
          <w:color w:val="auto"/>
          <w:spacing w:val="8"/>
          <w:kern w:val="0"/>
          <w:szCs w:val="24"/>
        </w:rPr>
        <w:t>使用沾有清洗剂的清抹布对不锈钢门进行清抹。</w:t>
      </w:r>
      <w:r>
        <w:rPr>
          <w:rFonts w:ascii="宋体" w:hAnsi="宋体" w:cs="Times New Roman"/>
          <w:color w:val="auto"/>
          <w:kern w:val="0"/>
          <w:szCs w:val="24"/>
        </w:rPr>
        <w:t>该工序产生</w:t>
      </w:r>
      <w:r>
        <w:rPr>
          <w:rFonts w:hint="eastAsia" w:ascii="宋体" w:hAnsi="宋体" w:cs="Times New Roman"/>
          <w:color w:val="auto"/>
          <w:kern w:val="0"/>
          <w:szCs w:val="24"/>
        </w:rPr>
        <w:t>有机废气、废清抹布</w:t>
      </w:r>
      <w:r>
        <w:rPr>
          <w:rFonts w:ascii="宋体" w:hAnsi="宋体" w:cs="Times New Roman"/>
          <w:color w:val="auto"/>
          <w:kern w:val="0"/>
          <w:szCs w:val="24"/>
        </w:rPr>
        <w:t>。</w:t>
      </w:r>
    </w:p>
    <w:p>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12"/>
        <w:rPr>
          <w:rFonts w:cs="Times New Roman"/>
          <w:color w:val="auto"/>
          <w:kern w:val="0"/>
          <w:szCs w:val="24"/>
        </w:rPr>
      </w:pPr>
      <w:r>
        <w:rPr>
          <w:rFonts w:ascii="宋体" w:hAnsi="宋体" w:cs="Times New Roman"/>
          <w:color w:val="auto"/>
          <w:spacing w:val="8"/>
          <w:kern w:val="0"/>
          <w:szCs w:val="24"/>
        </w:rPr>
        <w:t>（</w:t>
      </w:r>
      <w:r>
        <w:rPr>
          <w:rFonts w:cs="Times New Roman"/>
          <w:color w:val="auto"/>
          <w:spacing w:val="8"/>
          <w:kern w:val="0"/>
          <w:szCs w:val="24"/>
        </w:rPr>
        <w:t>1</w:t>
      </w:r>
      <w:r>
        <w:rPr>
          <w:rFonts w:hint="eastAsia" w:cs="Times New Roman"/>
          <w:color w:val="auto"/>
          <w:spacing w:val="8"/>
          <w:kern w:val="0"/>
          <w:szCs w:val="24"/>
        </w:rPr>
        <w:t>1</w:t>
      </w:r>
      <w:r>
        <w:rPr>
          <w:rFonts w:ascii="宋体" w:hAnsi="宋体" w:cs="Times New Roman"/>
          <w:color w:val="auto"/>
          <w:spacing w:val="8"/>
          <w:kern w:val="0"/>
          <w:szCs w:val="24"/>
        </w:rPr>
        <w:t>）喷粉、固化：清抹后的不锈钢门进入专用的喷粉房进行喷涂。本项目喷粉采用静电喷涂方式，</w:t>
      </w:r>
      <w:r>
        <w:rPr>
          <w:rFonts w:hint="eastAsia" w:ascii="宋体" w:hAnsi="宋体" w:cs="宋体"/>
          <w:color w:val="auto"/>
          <w:kern w:val="0"/>
          <w:szCs w:val="24"/>
        </w:rPr>
        <w:t>利用喷枪使粉末颗粒喷出枪体时携带正电荷，与带负电荷的型材接触，产生静电吸附，</w:t>
      </w:r>
      <w:r>
        <w:rPr>
          <w:rFonts w:ascii="宋体" w:hAnsi="宋体" w:cs="Times New Roman"/>
          <w:color w:val="auto"/>
          <w:spacing w:val="8"/>
          <w:kern w:val="0"/>
          <w:szCs w:val="24"/>
        </w:rPr>
        <w:t>日喷粉时间为</w:t>
      </w:r>
      <w:r>
        <w:rPr>
          <w:rFonts w:hint="eastAsia" w:cs="Times New Roman"/>
          <w:color w:val="auto"/>
          <w:spacing w:val="8"/>
          <w:kern w:val="0"/>
          <w:szCs w:val="24"/>
        </w:rPr>
        <w:t>4</w:t>
      </w:r>
      <w:r>
        <w:rPr>
          <w:rFonts w:cs="Times New Roman"/>
          <w:color w:val="auto"/>
          <w:spacing w:val="8"/>
          <w:kern w:val="0"/>
          <w:szCs w:val="24"/>
        </w:rPr>
        <w:t>h</w:t>
      </w:r>
      <w:r>
        <w:rPr>
          <w:rFonts w:ascii="宋体" w:hAnsi="宋体" w:cs="Times New Roman"/>
          <w:color w:val="auto"/>
          <w:spacing w:val="8"/>
          <w:kern w:val="0"/>
          <w:szCs w:val="24"/>
        </w:rPr>
        <w:t>。</w:t>
      </w:r>
      <w:r>
        <w:rPr>
          <w:rFonts w:hint="eastAsia" w:ascii="宋体" w:hAnsi="宋体" w:cs="宋体"/>
          <w:color w:val="auto"/>
          <w:kern w:val="0"/>
          <w:szCs w:val="24"/>
        </w:rPr>
        <w:t>在风机的作用下喷粉房内形成负压，防止粉末逸出，粉流和气流被抽到滤筒除尘器，滤筒收集的粉末回用于喷粉工艺中。</w:t>
      </w:r>
      <w:r>
        <w:rPr>
          <w:rFonts w:ascii="宋体" w:hAnsi="宋体" w:cs="Times New Roman"/>
          <w:color w:val="auto"/>
          <w:kern w:val="0"/>
          <w:szCs w:val="24"/>
        </w:rPr>
        <w:t>喷粉后，将不锈钢门送入</w:t>
      </w:r>
      <w:r>
        <w:rPr>
          <w:rFonts w:hint="eastAsia" w:ascii="宋体" w:hAnsi="宋体" w:cs="Times New Roman"/>
          <w:color w:val="auto"/>
          <w:kern w:val="0"/>
          <w:szCs w:val="24"/>
        </w:rPr>
        <w:t>固化炉</w:t>
      </w:r>
      <w:r>
        <w:rPr>
          <w:rFonts w:ascii="宋体" w:hAnsi="宋体" w:cs="Times New Roman"/>
          <w:color w:val="auto"/>
          <w:kern w:val="0"/>
          <w:szCs w:val="24"/>
        </w:rPr>
        <w:t>进行烘烤固化，当冷却后即可形成固态的涂层。项目</w:t>
      </w:r>
      <w:r>
        <w:rPr>
          <w:rFonts w:hint="eastAsia" w:ascii="宋体" w:hAnsi="宋体" w:cs="Times New Roman"/>
          <w:color w:val="auto"/>
          <w:kern w:val="0"/>
          <w:szCs w:val="24"/>
        </w:rPr>
        <w:t>固化炉</w:t>
      </w:r>
      <w:r>
        <w:rPr>
          <w:rFonts w:ascii="宋体" w:hAnsi="宋体" w:cs="Times New Roman"/>
          <w:color w:val="auto"/>
          <w:kern w:val="0"/>
          <w:szCs w:val="24"/>
        </w:rPr>
        <w:t>使用燃料为液化石油气，固化温度为</w:t>
      </w:r>
      <w:r>
        <w:rPr>
          <w:rFonts w:cs="Times New Roman"/>
          <w:color w:val="auto"/>
          <w:kern w:val="0"/>
          <w:szCs w:val="24"/>
        </w:rPr>
        <w:t>200℃</w:t>
      </w:r>
      <w:r>
        <w:rPr>
          <w:rFonts w:ascii="宋体" w:hAnsi="宋体" w:cs="Times New Roman"/>
          <w:color w:val="auto"/>
          <w:kern w:val="0"/>
          <w:szCs w:val="24"/>
        </w:rPr>
        <w:t>，固化时间为</w:t>
      </w:r>
      <w:r>
        <w:rPr>
          <w:rFonts w:hint="eastAsia" w:cs="Times New Roman"/>
          <w:color w:val="auto"/>
          <w:kern w:val="0"/>
          <w:szCs w:val="24"/>
        </w:rPr>
        <w:t>20min</w:t>
      </w:r>
      <w:r>
        <w:rPr>
          <w:rFonts w:cs="Times New Roman"/>
          <w:color w:val="auto"/>
          <w:kern w:val="0"/>
          <w:szCs w:val="24"/>
        </w:rPr>
        <w:t>/</w:t>
      </w:r>
      <w:r>
        <w:rPr>
          <w:rFonts w:ascii="宋体" w:hAnsi="宋体" w:cs="Times New Roman"/>
          <w:color w:val="auto"/>
          <w:kern w:val="0"/>
          <w:szCs w:val="24"/>
        </w:rPr>
        <w:t>批次，每天</w:t>
      </w:r>
      <w:r>
        <w:rPr>
          <w:rFonts w:hint="eastAsia" w:cs="Times New Roman"/>
          <w:color w:val="auto"/>
          <w:kern w:val="0"/>
          <w:szCs w:val="24"/>
        </w:rPr>
        <w:t>6</w:t>
      </w:r>
      <w:r>
        <w:rPr>
          <w:rFonts w:ascii="宋体" w:hAnsi="宋体" w:cs="Times New Roman"/>
          <w:color w:val="auto"/>
          <w:kern w:val="0"/>
          <w:szCs w:val="24"/>
        </w:rPr>
        <w:t>批次。此过程会产生喷粉粉尘、固化废气、</w:t>
      </w:r>
      <w:r>
        <w:rPr>
          <w:rFonts w:hint="eastAsia" w:ascii="宋体" w:hAnsi="宋体" w:cs="Times New Roman"/>
          <w:color w:val="auto"/>
          <w:kern w:val="0"/>
          <w:szCs w:val="24"/>
        </w:rPr>
        <w:t>废包装箱、</w:t>
      </w:r>
      <w:r>
        <w:rPr>
          <w:rFonts w:ascii="宋体" w:hAnsi="宋体" w:cs="Times New Roman"/>
          <w:color w:val="auto"/>
          <w:kern w:val="0"/>
          <w:szCs w:val="24"/>
        </w:rPr>
        <w:t>噪声。</w:t>
      </w:r>
    </w:p>
    <w:p>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80"/>
        <w:rPr>
          <w:rFonts w:cs="Times New Roman"/>
          <w:color w:val="auto"/>
          <w:kern w:val="0"/>
          <w:szCs w:val="24"/>
        </w:rPr>
      </w:pPr>
      <w:r>
        <w:rPr>
          <w:rFonts w:ascii="宋体" w:hAnsi="宋体" w:cs="Times New Roman"/>
          <w:color w:val="auto"/>
          <w:kern w:val="0"/>
          <w:szCs w:val="24"/>
        </w:rPr>
        <w:t>（</w:t>
      </w:r>
      <w:r>
        <w:rPr>
          <w:rFonts w:hint="eastAsia" w:cs="Times New Roman"/>
          <w:color w:val="auto"/>
          <w:kern w:val="0"/>
          <w:szCs w:val="24"/>
        </w:rPr>
        <w:t>12</w:t>
      </w:r>
      <w:r>
        <w:rPr>
          <w:rFonts w:ascii="宋体" w:hAnsi="宋体" w:cs="Times New Roman"/>
          <w:color w:val="auto"/>
          <w:kern w:val="0"/>
          <w:szCs w:val="24"/>
        </w:rPr>
        <w:t>）装配：将门框、门扇拼装成型，使用手磨机对门框修整，铝扣条利用割铝机切割成合适尺寸，再通过电钻将合页和铝扣条装至门框上。同时将加工完成的不锈钢烤漆大门与外购的锁、拉手、插销等配件进行装配。该工序产生粉尘、边角料、噪声。</w:t>
      </w:r>
    </w:p>
    <w:p>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480"/>
        <w:rPr>
          <w:rFonts w:cs="Times New Roman"/>
          <w:color w:val="auto"/>
          <w:kern w:val="0"/>
          <w:szCs w:val="24"/>
        </w:rPr>
      </w:pPr>
      <w:r>
        <w:rPr>
          <w:rFonts w:ascii="宋体" w:hAnsi="宋体" w:cs="Times New Roman"/>
          <w:color w:val="auto"/>
          <w:kern w:val="0"/>
          <w:szCs w:val="24"/>
        </w:rPr>
        <w:t>（</w:t>
      </w:r>
      <w:r>
        <w:rPr>
          <w:rFonts w:hint="eastAsia" w:cs="Times New Roman"/>
          <w:color w:val="auto"/>
          <w:kern w:val="0"/>
          <w:szCs w:val="24"/>
        </w:rPr>
        <w:t>13</w:t>
      </w:r>
      <w:r>
        <w:rPr>
          <w:rFonts w:ascii="宋体" w:hAnsi="宋体" w:cs="Times New Roman"/>
          <w:color w:val="auto"/>
          <w:kern w:val="0"/>
          <w:szCs w:val="24"/>
        </w:rPr>
        <w:t>）成品调试、入库、出货：</w:t>
      </w:r>
      <w:r>
        <w:rPr>
          <w:rFonts w:ascii="宋体" w:hAnsi="宋体" w:cs="Times New Roman"/>
          <w:color w:val="auto"/>
          <w:spacing w:val="8"/>
          <w:kern w:val="0"/>
          <w:szCs w:val="24"/>
        </w:rPr>
        <w:t>使用玻璃胶填补门扇与门框、包边等接缝处的微小缝隙。不锈钢烤漆门入库、出货。</w:t>
      </w:r>
      <w:r>
        <w:rPr>
          <w:rFonts w:ascii="宋体" w:hAnsi="宋体" w:cs="Times New Roman"/>
          <w:color w:val="auto"/>
          <w:kern w:val="0"/>
          <w:szCs w:val="24"/>
        </w:rPr>
        <w:t>该工序产生有机废气、废包装桶、噪声。</w:t>
      </w:r>
    </w:p>
    <w:p>
      <w:pPr>
        <w:adjustRightInd w:val="0"/>
        <w:snapToGrid w:val="0"/>
        <w:ind w:firstLine="199" w:firstLineChars="83"/>
        <w:rPr>
          <w:rFonts w:cs="Times New Roman"/>
          <w:color w:val="auto"/>
          <w:highlight w:val="yellow"/>
        </w:rPr>
        <w:sectPr>
          <w:pgSz w:w="11906" w:h="16838"/>
          <w:pgMar w:top="1440" w:right="1800" w:bottom="1440" w:left="1800" w:header="851" w:footer="992" w:gutter="0"/>
          <w:cols w:space="425" w:num="1"/>
          <w:docGrid w:type="lines" w:linePitch="312" w:charSpace="0"/>
        </w:sectPr>
      </w:pPr>
    </w:p>
    <w:p>
      <w:pPr>
        <w:pStyle w:val="3"/>
        <w:numPr>
          <w:ilvl w:val="0"/>
          <w:numId w:val="0"/>
        </w:numPr>
        <w:rPr>
          <w:color w:val="auto"/>
        </w:rPr>
      </w:pPr>
      <w:bookmarkStart w:id="25" w:name="_Toc9140"/>
      <w:r>
        <w:rPr>
          <w:rFonts w:hint="eastAsia"/>
          <w:color w:val="auto"/>
        </w:rPr>
        <w:t>3.7项目变动情况</w:t>
      </w:r>
      <w:bookmarkEnd w:id="25"/>
    </w:p>
    <w:p>
      <w:pPr>
        <w:ind w:firstLine="0" w:firstLineChars="0"/>
        <w:rPr>
          <w:rFonts w:hint="eastAsia" w:ascii="宋体" w:hAnsi="宋体" w:cs="Calibri"/>
          <w:b/>
          <w:bCs/>
          <w:color w:val="auto"/>
          <w:sz w:val="28"/>
          <w:szCs w:val="24"/>
        </w:rPr>
      </w:pPr>
      <w:bookmarkStart w:id="26" w:name="OLE_LINK1"/>
      <w:r>
        <w:rPr>
          <w:rFonts w:hint="eastAsia" w:ascii="宋体" w:hAnsi="宋体" w:cs="Calibri"/>
          <w:b/>
          <w:bCs/>
          <w:color w:val="auto"/>
          <w:sz w:val="28"/>
          <w:szCs w:val="24"/>
        </w:rPr>
        <w:t>3.7.1项目建设地点变动情况</w:t>
      </w:r>
    </w:p>
    <w:bookmarkEnd w:id="26"/>
    <w:p>
      <w:pPr>
        <w:ind w:firstLine="480"/>
        <w:rPr>
          <w:color w:val="auto"/>
        </w:rPr>
      </w:pPr>
      <w:r>
        <w:rPr>
          <w:rFonts w:hint="eastAsia"/>
          <w:color w:val="auto"/>
        </w:rPr>
        <w:t>根据本章3.1小节相关内容，本项目建设地点未发生变动。</w:t>
      </w:r>
    </w:p>
    <w:p>
      <w:pPr>
        <w:ind w:firstLine="0" w:firstLineChars="0"/>
        <w:rPr>
          <w:rFonts w:hint="eastAsia" w:ascii="宋体" w:hAnsi="宋体" w:cs="Calibri"/>
          <w:b/>
          <w:bCs/>
          <w:color w:val="auto"/>
          <w:sz w:val="28"/>
          <w:szCs w:val="24"/>
        </w:rPr>
      </w:pPr>
      <w:r>
        <w:rPr>
          <w:rFonts w:hint="eastAsia" w:ascii="宋体" w:hAnsi="宋体" w:cs="Calibri"/>
          <w:b/>
          <w:bCs/>
          <w:color w:val="auto"/>
          <w:sz w:val="28"/>
          <w:szCs w:val="24"/>
        </w:rPr>
        <w:t>3.7.2项目建设内容变动情况</w:t>
      </w:r>
    </w:p>
    <w:tbl>
      <w:tblPr>
        <w:tblStyle w:val="24"/>
        <w:tblW w:w="14174"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18"/>
        <w:gridCol w:w="1823"/>
        <w:gridCol w:w="3872"/>
        <w:gridCol w:w="3878"/>
        <w:gridCol w:w="32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18"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类别</w:t>
            </w:r>
          </w:p>
        </w:tc>
        <w:tc>
          <w:tcPr>
            <w:tcW w:w="1823"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名称</w:t>
            </w:r>
          </w:p>
        </w:tc>
        <w:tc>
          <w:tcPr>
            <w:tcW w:w="387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环评批复建设情况</w:t>
            </w:r>
          </w:p>
        </w:tc>
        <w:tc>
          <w:tcPr>
            <w:tcW w:w="3878"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实际建设情况</w:t>
            </w:r>
          </w:p>
        </w:tc>
        <w:tc>
          <w:tcPr>
            <w:tcW w:w="3283"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变动情况</w:t>
            </w:r>
            <w:r>
              <w:rPr>
                <w:rFonts w:hint="eastAsia" w:cs="Times New Roman"/>
                <w:color w:val="auto"/>
                <w:sz w:val="21"/>
                <w:szCs w:val="21"/>
              </w:rPr>
              <w:t>与原因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18" w:type="dxa"/>
            <w:tcBorders>
              <w:top w:val="nil"/>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储运</w:t>
            </w:r>
          </w:p>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工程</w:t>
            </w:r>
          </w:p>
        </w:tc>
        <w:tc>
          <w:tcPr>
            <w:tcW w:w="1823"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涂料仓库</w:t>
            </w:r>
          </w:p>
        </w:tc>
        <w:tc>
          <w:tcPr>
            <w:tcW w:w="387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占地面积45.7m</w:t>
            </w:r>
            <w:r>
              <w:rPr>
                <w:rFonts w:cs="Times New Roman"/>
                <w:color w:val="auto"/>
                <w:sz w:val="21"/>
                <w:szCs w:val="21"/>
                <w:vertAlign w:val="superscript"/>
              </w:rPr>
              <w:t>2</w:t>
            </w:r>
            <w:r>
              <w:rPr>
                <w:rFonts w:cs="Times New Roman"/>
                <w:color w:val="auto"/>
                <w:sz w:val="21"/>
                <w:szCs w:val="21"/>
              </w:rPr>
              <w:t>，用于储存粉末涂料、油性涂料、水性涂料、清洗剂、乳化油、</w:t>
            </w:r>
            <w:r>
              <w:rPr>
                <w:rFonts w:cs="Times New Roman"/>
                <w:color w:val="auto"/>
                <w:kern w:val="0"/>
                <w:sz w:val="21"/>
                <w:szCs w:val="21"/>
              </w:rPr>
              <w:t>粘合剂</w:t>
            </w:r>
            <w:r>
              <w:rPr>
                <w:rFonts w:cs="Times New Roman"/>
                <w:color w:val="auto"/>
                <w:sz w:val="21"/>
                <w:szCs w:val="21"/>
              </w:rPr>
              <w:t>、玻璃胶等原料</w:t>
            </w:r>
            <w:r>
              <w:rPr>
                <w:rFonts w:hint="eastAsia" w:cs="Times New Roman"/>
                <w:color w:val="auto"/>
                <w:sz w:val="21"/>
                <w:szCs w:val="21"/>
              </w:rPr>
              <w:t>。</w:t>
            </w:r>
          </w:p>
        </w:tc>
        <w:tc>
          <w:tcPr>
            <w:tcW w:w="3878"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占地面积20m</w:t>
            </w:r>
            <w:r>
              <w:rPr>
                <w:rFonts w:cs="Times New Roman"/>
                <w:color w:val="auto"/>
                <w:sz w:val="21"/>
                <w:szCs w:val="21"/>
                <w:vertAlign w:val="superscript"/>
              </w:rPr>
              <w:t>2</w:t>
            </w:r>
            <w:r>
              <w:rPr>
                <w:rFonts w:cs="Times New Roman"/>
                <w:color w:val="auto"/>
                <w:sz w:val="21"/>
                <w:szCs w:val="21"/>
              </w:rPr>
              <w:t>，用于储存粉末涂料、油性涂料、水性涂料、清洗剂、乳化油、</w:t>
            </w:r>
            <w:r>
              <w:rPr>
                <w:rFonts w:cs="Times New Roman"/>
                <w:color w:val="auto"/>
                <w:kern w:val="0"/>
                <w:sz w:val="21"/>
                <w:szCs w:val="21"/>
              </w:rPr>
              <w:t>粘合剂</w:t>
            </w:r>
            <w:r>
              <w:rPr>
                <w:rFonts w:cs="Times New Roman"/>
                <w:color w:val="auto"/>
                <w:sz w:val="21"/>
                <w:szCs w:val="21"/>
              </w:rPr>
              <w:t>、玻璃胶等原料</w:t>
            </w:r>
            <w:r>
              <w:rPr>
                <w:rFonts w:hint="eastAsia" w:cs="Times New Roman"/>
                <w:color w:val="auto"/>
                <w:sz w:val="21"/>
                <w:szCs w:val="21"/>
              </w:rPr>
              <w:t>。</w:t>
            </w:r>
          </w:p>
        </w:tc>
        <w:tc>
          <w:tcPr>
            <w:tcW w:w="3283"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占地面积由45.7m</w:t>
            </w:r>
            <w:r>
              <w:rPr>
                <w:rFonts w:cs="Times New Roman"/>
                <w:color w:val="auto"/>
                <w:sz w:val="21"/>
                <w:szCs w:val="21"/>
                <w:vertAlign w:val="superscript"/>
              </w:rPr>
              <w:t>2</w:t>
            </w:r>
            <w:r>
              <w:rPr>
                <w:rFonts w:cs="Times New Roman"/>
                <w:color w:val="auto"/>
                <w:sz w:val="21"/>
                <w:szCs w:val="21"/>
              </w:rPr>
              <w:t>减小为20m</w:t>
            </w:r>
            <w:r>
              <w:rPr>
                <w:rFonts w:cs="Times New Roman"/>
                <w:color w:val="auto"/>
                <w:sz w:val="21"/>
                <w:szCs w:val="21"/>
                <w:vertAlign w:val="superscript"/>
              </w:rPr>
              <w:t>2</w:t>
            </w:r>
            <w:r>
              <w:rPr>
                <w:rFonts w:hint="eastAsia" w:cs="Times New Roman"/>
                <w:color w:val="auto"/>
                <w:sz w:val="21"/>
                <w:szCs w:val="21"/>
              </w:rPr>
              <w:t>；</w:t>
            </w:r>
          </w:p>
          <w:p>
            <w:pPr>
              <w:adjustRightInd w:val="0"/>
              <w:snapToGrid w:val="0"/>
              <w:spacing w:line="240" w:lineRule="auto"/>
              <w:ind w:firstLine="0" w:firstLineChars="0"/>
              <w:jc w:val="center"/>
              <w:rPr>
                <w:rFonts w:hint="eastAsia" w:cs="Times New Roman"/>
                <w:color w:val="auto"/>
                <w:sz w:val="21"/>
                <w:szCs w:val="21"/>
              </w:rPr>
            </w:pPr>
            <w:r>
              <w:rPr>
                <w:rFonts w:hint="eastAsia" w:cs="Times New Roman"/>
                <w:color w:val="auto"/>
                <w:sz w:val="21"/>
                <w:szCs w:val="21"/>
              </w:rPr>
              <w:t>原因：项目原设计原料贮量下降，从半年备用到季度备用。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18" w:type="dxa"/>
            <w:tcBorders>
              <w:top w:val="nil"/>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辅助工程</w:t>
            </w:r>
          </w:p>
        </w:tc>
        <w:tc>
          <w:tcPr>
            <w:tcW w:w="1823"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14:ligatures w14:val="standardContextual"/>
              </w:rPr>
              <w:t>液化石油气区</w:t>
            </w:r>
          </w:p>
        </w:tc>
        <w:tc>
          <w:tcPr>
            <w:tcW w:w="387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14:ligatures w14:val="standardContextual"/>
              </w:rPr>
              <w:t>位于生产车间内东北角，占地面积60m</w:t>
            </w:r>
            <w:r>
              <w:rPr>
                <w:rFonts w:cs="Times New Roman"/>
                <w:color w:val="auto"/>
                <w:sz w:val="21"/>
                <w:szCs w:val="21"/>
                <w:vertAlign w:val="superscript"/>
                <w14:ligatures w14:val="standardContextual"/>
              </w:rPr>
              <w:t>2</w:t>
            </w:r>
            <w:r>
              <w:rPr>
                <w:rFonts w:cs="Times New Roman"/>
                <w:color w:val="auto"/>
                <w:sz w:val="21"/>
                <w:szCs w:val="21"/>
                <w14:ligatures w14:val="standardContextual"/>
              </w:rPr>
              <w:t>，用于液化石油气储存及气化</w:t>
            </w:r>
            <w:r>
              <w:rPr>
                <w:rFonts w:hint="eastAsia" w:cs="Times New Roman"/>
                <w:color w:val="auto"/>
                <w:sz w:val="21"/>
                <w:szCs w:val="21"/>
                <w14:ligatures w14:val="standardContextual"/>
              </w:rPr>
              <w:t>。</w:t>
            </w:r>
          </w:p>
        </w:tc>
        <w:tc>
          <w:tcPr>
            <w:tcW w:w="3878"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14:ligatures w14:val="standardContextual"/>
              </w:rPr>
              <w:t>位于生产车间内东北角，占地面积4m</w:t>
            </w:r>
            <w:r>
              <w:rPr>
                <w:rFonts w:cs="Times New Roman"/>
                <w:color w:val="auto"/>
                <w:sz w:val="21"/>
                <w:szCs w:val="21"/>
                <w:vertAlign w:val="superscript"/>
                <w14:ligatures w14:val="standardContextual"/>
              </w:rPr>
              <w:t>2</w:t>
            </w:r>
            <w:r>
              <w:rPr>
                <w:rFonts w:cs="Times New Roman"/>
                <w:color w:val="auto"/>
                <w:sz w:val="21"/>
                <w:szCs w:val="21"/>
                <w14:ligatures w14:val="standardContextual"/>
              </w:rPr>
              <w:t>，用于液化石油气储存及气化</w:t>
            </w:r>
            <w:r>
              <w:rPr>
                <w:rFonts w:hint="eastAsia" w:cs="Times New Roman"/>
                <w:color w:val="auto"/>
                <w:sz w:val="21"/>
                <w:szCs w:val="21"/>
                <w14:ligatures w14:val="standardContextual"/>
              </w:rPr>
              <w:t>。</w:t>
            </w:r>
          </w:p>
        </w:tc>
        <w:tc>
          <w:tcPr>
            <w:tcW w:w="3283"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14:ligatures w14:val="standardContextual"/>
              </w:rPr>
            </w:pPr>
            <w:r>
              <w:rPr>
                <w:rFonts w:cs="Times New Roman"/>
                <w:color w:val="auto"/>
                <w:sz w:val="21"/>
                <w:szCs w:val="21"/>
                <w14:ligatures w14:val="standardContextual"/>
              </w:rPr>
              <w:t>占地面积由60m</w:t>
            </w:r>
            <w:r>
              <w:rPr>
                <w:rFonts w:cs="Times New Roman"/>
                <w:color w:val="auto"/>
                <w:sz w:val="21"/>
                <w:szCs w:val="21"/>
                <w:vertAlign w:val="superscript"/>
                <w14:ligatures w14:val="standardContextual"/>
              </w:rPr>
              <w:t>2</w:t>
            </w:r>
            <w:r>
              <w:rPr>
                <w:rFonts w:cs="Times New Roman"/>
                <w:color w:val="auto"/>
                <w:sz w:val="21"/>
                <w:szCs w:val="21"/>
                <w14:ligatures w14:val="standardContextual"/>
              </w:rPr>
              <w:t>减小为4m</w:t>
            </w:r>
            <w:r>
              <w:rPr>
                <w:rFonts w:cs="Times New Roman"/>
                <w:color w:val="auto"/>
                <w:sz w:val="21"/>
                <w:szCs w:val="21"/>
                <w:vertAlign w:val="superscript"/>
                <w14:ligatures w14:val="standardContextual"/>
              </w:rPr>
              <w:t>2</w:t>
            </w:r>
            <w:r>
              <w:rPr>
                <w:rFonts w:hint="eastAsia" w:cs="Times New Roman"/>
                <w:color w:val="auto"/>
                <w:sz w:val="21"/>
                <w:szCs w:val="21"/>
                <w14:ligatures w14:val="standardContextual"/>
              </w:rPr>
              <w:t>；</w:t>
            </w:r>
          </w:p>
          <w:p>
            <w:pPr>
              <w:adjustRightInd w:val="0"/>
              <w:snapToGrid w:val="0"/>
              <w:spacing w:line="240" w:lineRule="auto"/>
              <w:ind w:firstLine="0" w:firstLineChars="0"/>
              <w:jc w:val="center"/>
              <w:rPr>
                <w:rFonts w:hint="eastAsia" w:cs="Times New Roman"/>
                <w:color w:val="auto"/>
                <w:sz w:val="21"/>
                <w:szCs w:val="21"/>
              </w:rPr>
            </w:pPr>
            <w:r>
              <w:rPr>
                <w:rFonts w:hint="eastAsia" w:cs="Times New Roman"/>
                <w:color w:val="auto"/>
                <w:sz w:val="21"/>
                <w:szCs w:val="21"/>
              </w:rPr>
              <w:t>原因：每个焚烧炉只一备一用，共储备3个气罐，不需要原设计面积。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18" w:type="dxa"/>
            <w:vMerge w:val="restart"/>
            <w:tcBorders>
              <w:top w:val="nil"/>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环保工程</w:t>
            </w:r>
          </w:p>
        </w:tc>
        <w:tc>
          <w:tcPr>
            <w:tcW w:w="1823"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废气</w:t>
            </w:r>
          </w:p>
        </w:tc>
        <w:tc>
          <w:tcPr>
            <w:tcW w:w="3872"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hint="eastAsia" w:cs="Times New Roman"/>
                <w:color w:val="auto"/>
                <w:sz w:val="21"/>
                <w:szCs w:val="21"/>
              </w:rPr>
            </w:pPr>
            <w:r>
              <w:rPr>
                <w:rFonts w:hint="eastAsia" w:cs="Times New Roman"/>
                <w:color w:val="auto"/>
                <w:sz w:val="21"/>
                <w:szCs w:val="21"/>
              </w:rPr>
              <w:t>（6）喷漆废气（喷漆房1）经密闭负压收集至水帘柜预处理后，调漆废气、危废间废气经密闭负压收集后，烘干废气（烤漆炉1）、喷粉固化废气经集气罩收集后，一起引至同一套“水喷淋+干式过滤+二级活性炭吸附”（TA001）处理后，由15m排气筒DA001排放；</w:t>
            </w:r>
          </w:p>
          <w:p>
            <w:pPr>
              <w:spacing w:line="240" w:lineRule="auto"/>
              <w:ind w:firstLine="0" w:firstLineChars="0"/>
              <w:jc w:val="center"/>
              <w:rPr>
                <w:rFonts w:cs="Times New Roman"/>
                <w:color w:val="auto"/>
                <w:sz w:val="21"/>
                <w:szCs w:val="21"/>
              </w:rPr>
            </w:pPr>
            <w:r>
              <w:rPr>
                <w:rFonts w:hint="eastAsia" w:cs="Times New Roman"/>
                <w:color w:val="auto"/>
                <w:sz w:val="21"/>
                <w:szCs w:val="21"/>
              </w:rPr>
              <w:t>（7）喷漆废气（喷漆房2）经密闭负压收集至水帘柜预处理后，胶合有机废气、清抹有机废气经密闭负压收集后，烘干废气（烤漆炉2）经集气罩收集后，一起引至同一套“水喷淋+干式过滤+二级活性炭吸附”（TA002）处理后，由15m排气筒DA002排放；</w:t>
            </w:r>
          </w:p>
        </w:tc>
        <w:tc>
          <w:tcPr>
            <w:tcW w:w="3878"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hint="eastAsia" w:cs="Times New Roman"/>
                <w:color w:val="auto"/>
                <w:sz w:val="21"/>
                <w:szCs w:val="21"/>
              </w:rPr>
            </w:pPr>
            <w:r>
              <w:rPr>
                <w:rFonts w:hint="eastAsia" w:cs="Times New Roman"/>
                <w:color w:val="auto"/>
                <w:sz w:val="21"/>
                <w:szCs w:val="21"/>
              </w:rPr>
              <w:t>（6）喷漆废气（喷漆房1）经密闭负压收集至水帘柜预处理后，调漆废气、危废间废气、胶合有机废气经密闭负压收集后，烘干废气（烤漆炉1）、喷粉固化废气经集气罩收集后，一起引至同一套“水喷淋+干式过滤+二级活性炭吸附”（TA001）处理后，由15m排气筒DA001排放；</w:t>
            </w:r>
          </w:p>
          <w:p>
            <w:pPr>
              <w:spacing w:line="240" w:lineRule="auto"/>
              <w:ind w:firstLine="0" w:firstLineChars="0"/>
              <w:jc w:val="center"/>
              <w:rPr>
                <w:rFonts w:cs="Times New Roman"/>
                <w:color w:val="auto"/>
                <w:sz w:val="21"/>
                <w:szCs w:val="21"/>
              </w:rPr>
            </w:pPr>
            <w:r>
              <w:rPr>
                <w:rFonts w:hint="eastAsia" w:cs="Times New Roman"/>
                <w:color w:val="auto"/>
                <w:sz w:val="21"/>
                <w:szCs w:val="21"/>
              </w:rPr>
              <w:t>（7）喷漆废气（喷漆房2）经密闭负压收集至水帘柜预处理后，清抹有机废气经密闭负压收集后，烘干废气（烤漆炉2）经集气罩收集后，一起引至同一套“水喷淋+干式过滤+二级活性炭吸附”（TA002）处理后，由15m排气筒DA002排放；</w:t>
            </w:r>
          </w:p>
        </w:tc>
        <w:tc>
          <w:tcPr>
            <w:tcW w:w="3283"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bookmarkStart w:id="27" w:name="OLE_LINK6"/>
            <w:bookmarkStart w:id="28" w:name="_Hlk218010119"/>
            <w:r>
              <w:rPr>
                <w:rFonts w:cs="Times New Roman"/>
                <w:color w:val="auto"/>
                <w:sz w:val="21"/>
                <w:szCs w:val="21"/>
              </w:rPr>
              <w:t>胶合有机废气由DA002排放，改为由DA001排放</w:t>
            </w:r>
            <w:bookmarkEnd w:id="27"/>
            <w:r>
              <w:rPr>
                <w:rFonts w:hint="eastAsia" w:cs="Times New Roman"/>
                <w:color w:val="auto"/>
                <w:sz w:val="21"/>
                <w:szCs w:val="21"/>
              </w:rPr>
              <w:t>；</w:t>
            </w:r>
          </w:p>
          <w:p>
            <w:pPr>
              <w:widowControl/>
              <w:spacing w:line="240" w:lineRule="auto"/>
              <w:ind w:firstLine="0" w:firstLineChars="0"/>
              <w:jc w:val="center"/>
              <w:rPr>
                <w:rFonts w:hint="eastAsia" w:cs="Times New Roman"/>
                <w:color w:val="auto"/>
                <w:sz w:val="21"/>
                <w:szCs w:val="21"/>
              </w:rPr>
            </w:pPr>
            <w:r>
              <w:rPr>
                <w:rFonts w:hint="eastAsia" w:cs="Times New Roman"/>
                <w:color w:val="auto"/>
                <w:sz w:val="21"/>
                <w:szCs w:val="21"/>
              </w:rPr>
              <w:t>原因：根据厂区平面图设计，结合生产工艺的实际情况，优化场地管道走向。</w:t>
            </w:r>
            <w:bookmarkEnd w:id="28"/>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18"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p>
        </w:tc>
        <w:tc>
          <w:tcPr>
            <w:tcW w:w="1823" w:type="dxa"/>
            <w:vMerge w:val="restart"/>
            <w:tcBorders>
              <w:top w:val="single" w:color="auto" w:sz="4" w:space="0"/>
              <w:left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固体废物</w:t>
            </w:r>
          </w:p>
        </w:tc>
        <w:tc>
          <w:tcPr>
            <w:tcW w:w="3872"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一般工业固废：一般废包装材料、边角料、金属碎屑、焊渣、自然沉降粉尘、废滤筒及废布袋分类收集后暂存在一般固废间（15m</w:t>
            </w:r>
            <w:r>
              <w:rPr>
                <w:rFonts w:cs="Times New Roman"/>
                <w:color w:val="auto"/>
                <w:sz w:val="21"/>
                <w:szCs w:val="21"/>
                <w:vertAlign w:val="superscript"/>
              </w:rPr>
              <w:t>2</w:t>
            </w:r>
            <w:r>
              <w:rPr>
                <w:rFonts w:cs="Times New Roman"/>
                <w:color w:val="auto"/>
                <w:sz w:val="21"/>
                <w:szCs w:val="21"/>
              </w:rPr>
              <w:t>），定期交由有处理能力的单位处理。</w:t>
            </w:r>
          </w:p>
        </w:tc>
        <w:tc>
          <w:tcPr>
            <w:tcW w:w="3878"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一般工业固废：一般废包装材料、边角料、金属碎屑、焊渣、自然沉降粉尘、废滤筒及废布袋分类收集后暂存在一般固废间（8m</w:t>
            </w:r>
            <w:r>
              <w:rPr>
                <w:rFonts w:cs="Times New Roman"/>
                <w:color w:val="auto"/>
                <w:sz w:val="21"/>
                <w:szCs w:val="21"/>
                <w:vertAlign w:val="superscript"/>
              </w:rPr>
              <w:t>2</w:t>
            </w:r>
            <w:r>
              <w:rPr>
                <w:rFonts w:cs="Times New Roman"/>
                <w:color w:val="auto"/>
                <w:sz w:val="21"/>
                <w:szCs w:val="21"/>
              </w:rPr>
              <w:t>），定期交由有处理能力的单位处理。</w:t>
            </w:r>
          </w:p>
        </w:tc>
        <w:tc>
          <w:tcPr>
            <w:tcW w:w="3283"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一般固废间占地面积由15m</w:t>
            </w:r>
            <w:r>
              <w:rPr>
                <w:rFonts w:cs="Times New Roman"/>
                <w:color w:val="auto"/>
                <w:sz w:val="21"/>
                <w:szCs w:val="21"/>
                <w:vertAlign w:val="superscript"/>
              </w:rPr>
              <w:t>2</w:t>
            </w:r>
            <w:r>
              <w:rPr>
                <w:rFonts w:cs="Times New Roman"/>
                <w:color w:val="auto"/>
                <w:sz w:val="21"/>
                <w:szCs w:val="21"/>
              </w:rPr>
              <w:t>减小为8m</w:t>
            </w:r>
            <w:r>
              <w:rPr>
                <w:rFonts w:cs="Times New Roman"/>
                <w:color w:val="auto"/>
                <w:sz w:val="21"/>
                <w:szCs w:val="21"/>
                <w:vertAlign w:val="superscript"/>
              </w:rPr>
              <w:t>2</w:t>
            </w:r>
            <w:r>
              <w:rPr>
                <w:rFonts w:hint="eastAsia" w:cs="Times New Roman"/>
                <w:color w:val="auto"/>
                <w:sz w:val="21"/>
                <w:szCs w:val="21"/>
              </w:rPr>
              <w:t>；</w:t>
            </w:r>
          </w:p>
          <w:p>
            <w:pPr>
              <w:spacing w:line="240" w:lineRule="auto"/>
              <w:ind w:firstLine="0" w:firstLineChars="0"/>
              <w:jc w:val="center"/>
              <w:rPr>
                <w:rFonts w:cs="Times New Roman"/>
                <w:color w:val="auto"/>
                <w:sz w:val="21"/>
                <w:szCs w:val="21"/>
              </w:rPr>
            </w:pPr>
            <w:r>
              <w:rPr>
                <w:rFonts w:hint="eastAsia" w:cs="Times New Roman"/>
                <w:color w:val="auto"/>
                <w:sz w:val="21"/>
                <w:szCs w:val="21"/>
              </w:rPr>
              <w:t>原因：减少固体废物的贮存周期，提供清运频次，不需要原设计面积。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18"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p>
        </w:tc>
        <w:tc>
          <w:tcPr>
            <w:tcW w:w="1823" w:type="dxa"/>
            <w:vMerge w:val="continue"/>
            <w:tcBorders>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p>
        </w:tc>
        <w:tc>
          <w:tcPr>
            <w:tcW w:w="3872"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危险废物：废机油、废液压油、废乳化油、沾染乳化油的金属碎屑、废机油桶、废液压油桶、废乳化油桶、废清洗剂桶、废青铜油漆桶、废青铜漆稀释剂桶、废拉丝漆桶、废拉丝漆稀释剂桶、废亚克力光油桶、废亚克力光油稀释剂桶、废纯水性色漆桶、废纯水性清漆桶、废粘合剂桶、漆渣、废干式过滤器介质、废活性炭、废清抹布、废拉丝布、废含油抹布及手套分类收集后暂存在危废间（22m</w:t>
            </w:r>
            <w:r>
              <w:rPr>
                <w:rFonts w:cs="Times New Roman"/>
                <w:color w:val="auto"/>
                <w:sz w:val="21"/>
                <w:szCs w:val="21"/>
                <w:vertAlign w:val="superscript"/>
              </w:rPr>
              <w:t>2</w:t>
            </w:r>
            <w:r>
              <w:rPr>
                <w:rFonts w:cs="Times New Roman"/>
                <w:color w:val="auto"/>
                <w:sz w:val="21"/>
                <w:szCs w:val="21"/>
              </w:rPr>
              <w:t>），定期交有危废资质的单位处置。</w:t>
            </w:r>
          </w:p>
        </w:tc>
        <w:tc>
          <w:tcPr>
            <w:tcW w:w="3878"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危险废物：废机油、废液压油、废乳化油、沾染乳化油的金属碎屑、废机油桶、废液压油桶、废乳化油桶、废清洗剂桶、废青铜油漆桶、废青铜漆稀释剂桶、废拉丝漆桶、废拉丝漆稀释剂桶、废亚克力光油桶、废亚克力光油稀释剂桶、废纯水性色漆桶、废纯水性清漆桶、废粘合剂桶、漆渣、废干式过滤器介质、废活性炭、废清抹布、废拉丝布、废含油抹布及手套分类收集后暂存在危废间（</w:t>
            </w:r>
            <w:r>
              <w:rPr>
                <w:rFonts w:hint="eastAsia" w:cs="Times New Roman"/>
                <w:color w:val="auto"/>
                <w:sz w:val="21"/>
                <w:szCs w:val="21"/>
              </w:rPr>
              <w:t>12</w:t>
            </w:r>
            <w:r>
              <w:rPr>
                <w:rFonts w:cs="Times New Roman"/>
                <w:color w:val="auto"/>
                <w:sz w:val="21"/>
                <w:szCs w:val="21"/>
              </w:rPr>
              <w:t>m</w:t>
            </w:r>
            <w:r>
              <w:rPr>
                <w:rFonts w:cs="Times New Roman"/>
                <w:color w:val="auto"/>
                <w:sz w:val="21"/>
                <w:szCs w:val="21"/>
                <w:vertAlign w:val="superscript"/>
              </w:rPr>
              <w:t>2</w:t>
            </w:r>
            <w:r>
              <w:rPr>
                <w:rFonts w:cs="Times New Roman"/>
                <w:color w:val="auto"/>
                <w:sz w:val="21"/>
                <w:szCs w:val="21"/>
              </w:rPr>
              <w:t>），定期交有危废资质的单位处置。</w:t>
            </w:r>
          </w:p>
        </w:tc>
        <w:tc>
          <w:tcPr>
            <w:tcW w:w="3283"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bookmarkStart w:id="29" w:name="OLE_LINK12"/>
            <w:r>
              <w:rPr>
                <w:rFonts w:cs="Times New Roman"/>
                <w:color w:val="auto"/>
                <w:sz w:val="21"/>
                <w:szCs w:val="21"/>
              </w:rPr>
              <w:t>危废间占地面积由22m</w:t>
            </w:r>
            <w:r>
              <w:rPr>
                <w:rFonts w:cs="Times New Roman"/>
                <w:color w:val="auto"/>
                <w:sz w:val="21"/>
                <w:szCs w:val="21"/>
                <w:vertAlign w:val="superscript"/>
              </w:rPr>
              <w:t>2</w:t>
            </w:r>
            <w:r>
              <w:rPr>
                <w:rFonts w:cs="Times New Roman"/>
                <w:color w:val="auto"/>
                <w:sz w:val="21"/>
                <w:szCs w:val="21"/>
              </w:rPr>
              <w:t>减小为</w:t>
            </w:r>
            <w:r>
              <w:rPr>
                <w:rFonts w:hint="eastAsia" w:cs="Times New Roman"/>
                <w:color w:val="auto"/>
                <w:sz w:val="21"/>
                <w:szCs w:val="21"/>
              </w:rPr>
              <w:t>12</w:t>
            </w:r>
            <w:r>
              <w:rPr>
                <w:rFonts w:cs="Times New Roman"/>
                <w:color w:val="auto"/>
                <w:sz w:val="21"/>
                <w:szCs w:val="21"/>
              </w:rPr>
              <w:t>m</w:t>
            </w:r>
            <w:r>
              <w:rPr>
                <w:rFonts w:cs="Times New Roman"/>
                <w:color w:val="auto"/>
                <w:sz w:val="21"/>
                <w:szCs w:val="21"/>
                <w:vertAlign w:val="superscript"/>
              </w:rPr>
              <w:t>2</w:t>
            </w:r>
            <w:r>
              <w:rPr>
                <w:rFonts w:hint="eastAsia" w:cs="Times New Roman"/>
                <w:color w:val="auto"/>
                <w:sz w:val="21"/>
                <w:szCs w:val="21"/>
              </w:rPr>
              <w:t>；</w:t>
            </w:r>
          </w:p>
          <w:p>
            <w:pPr>
              <w:spacing w:line="240" w:lineRule="auto"/>
              <w:ind w:firstLine="0" w:firstLineChars="0"/>
              <w:jc w:val="center"/>
              <w:rPr>
                <w:rFonts w:cs="Times New Roman"/>
                <w:color w:val="auto"/>
                <w:sz w:val="21"/>
                <w:szCs w:val="21"/>
              </w:rPr>
            </w:pPr>
            <w:r>
              <w:rPr>
                <w:rFonts w:hint="eastAsia" w:cs="Times New Roman"/>
                <w:color w:val="auto"/>
                <w:sz w:val="21"/>
                <w:szCs w:val="21"/>
              </w:rPr>
              <w:t>原因：</w:t>
            </w:r>
            <w:bookmarkStart w:id="30" w:name="_Hlk218012882"/>
            <w:r>
              <w:rPr>
                <w:rFonts w:hint="eastAsia" w:cs="Times New Roman"/>
                <w:color w:val="auto"/>
                <w:sz w:val="21"/>
                <w:szCs w:val="21"/>
              </w:rPr>
              <w:t>减少危险废物的贮存周期，增加危险废物的周转次数</w:t>
            </w:r>
            <w:bookmarkEnd w:id="29"/>
            <w:r>
              <w:rPr>
                <w:rFonts w:hint="eastAsia" w:cs="Times New Roman"/>
                <w:color w:val="auto"/>
                <w:sz w:val="21"/>
                <w:szCs w:val="21"/>
              </w:rPr>
              <w:t>，废机油、废液压油、废乳化油、沾染乳化油的金属碎屑、废干式过滤器介质、废清抹布、废拉丝布、含油废抹布及手套、漆渣由1年更换一次变为6个月更换一次；废原辅料包装桶由六个月更换一次变为3个月更换一次；废活性炭由4个月更换一次变为2个月更换一次。</w:t>
            </w:r>
            <w:bookmarkEnd w:id="30"/>
          </w:p>
        </w:tc>
      </w:tr>
    </w:tbl>
    <w:p>
      <w:pPr>
        <w:ind w:firstLine="480"/>
        <w:jc w:val="left"/>
        <w:rPr>
          <w:rFonts w:cs="Times New Roman"/>
          <w:color w:val="auto"/>
          <w:szCs w:val="24"/>
        </w:rPr>
      </w:pPr>
      <w:r>
        <w:rPr>
          <w:rFonts w:cs="Times New Roman"/>
          <w:color w:val="auto"/>
          <w:szCs w:val="24"/>
        </w:rPr>
        <w:t>根据上表可知，项目建设内容主要变动内容为：</w:t>
      </w:r>
      <w:r>
        <w:rPr>
          <w:rFonts w:ascii="Cambria Math" w:hAnsi="Cambria Math" w:cs="Cambria Math"/>
          <w:color w:val="auto"/>
          <w:szCs w:val="24"/>
        </w:rPr>
        <w:t>①</w:t>
      </w:r>
      <w:r>
        <w:rPr>
          <w:rFonts w:cs="Times New Roman"/>
          <w:color w:val="auto"/>
          <w:szCs w:val="24"/>
        </w:rPr>
        <w:t>涂料仓库占地面积由45.7m</w:t>
      </w:r>
      <w:r>
        <w:rPr>
          <w:rFonts w:cs="Times New Roman"/>
          <w:color w:val="auto"/>
          <w:szCs w:val="24"/>
          <w:vertAlign w:val="superscript"/>
        </w:rPr>
        <w:t>2</w:t>
      </w:r>
      <w:r>
        <w:rPr>
          <w:rFonts w:cs="Times New Roman"/>
          <w:color w:val="auto"/>
          <w:szCs w:val="24"/>
        </w:rPr>
        <w:t>减小为20m</w:t>
      </w:r>
      <w:r>
        <w:rPr>
          <w:rFonts w:cs="Times New Roman"/>
          <w:color w:val="auto"/>
          <w:szCs w:val="24"/>
          <w:vertAlign w:val="superscript"/>
        </w:rPr>
        <w:t>2</w:t>
      </w:r>
      <w:r>
        <w:rPr>
          <w:rFonts w:cs="Times New Roman"/>
          <w:color w:val="auto"/>
          <w:szCs w:val="24"/>
        </w:rPr>
        <w:t>，原因是项目原设计原料贮量下降，从半年备用到季度备用；</w:t>
      </w:r>
      <w:r>
        <w:rPr>
          <w:rFonts w:ascii="Cambria Math" w:hAnsi="Cambria Math" w:cs="Cambria Math"/>
          <w:color w:val="auto"/>
          <w:szCs w:val="24"/>
        </w:rPr>
        <w:t>②</w:t>
      </w:r>
      <w:r>
        <w:rPr>
          <w:rFonts w:cs="Times New Roman"/>
          <w:color w:val="auto"/>
          <w:szCs w:val="24"/>
        </w:rPr>
        <w:t>液化石油气区</w:t>
      </w:r>
      <w:r>
        <w:rPr>
          <w:rFonts w:cs="Times New Roman"/>
          <w:color w:val="auto"/>
          <w:szCs w:val="24"/>
          <w14:ligatures w14:val="standardContextual"/>
        </w:rPr>
        <w:t>占地面积由60m</w:t>
      </w:r>
      <w:r>
        <w:rPr>
          <w:rFonts w:cs="Times New Roman"/>
          <w:color w:val="auto"/>
          <w:szCs w:val="24"/>
          <w:vertAlign w:val="superscript"/>
          <w14:ligatures w14:val="standardContextual"/>
        </w:rPr>
        <w:t>2</w:t>
      </w:r>
      <w:r>
        <w:rPr>
          <w:rFonts w:cs="Times New Roman"/>
          <w:color w:val="auto"/>
          <w:szCs w:val="24"/>
          <w14:ligatures w14:val="standardContextual"/>
        </w:rPr>
        <w:t>减小为4m</w:t>
      </w:r>
      <w:r>
        <w:rPr>
          <w:rFonts w:cs="Times New Roman"/>
          <w:color w:val="auto"/>
          <w:szCs w:val="24"/>
          <w:vertAlign w:val="superscript"/>
          <w14:ligatures w14:val="standardContextual"/>
        </w:rPr>
        <w:t>2</w:t>
      </w:r>
      <w:r>
        <w:rPr>
          <w:rFonts w:cs="Times New Roman"/>
          <w:color w:val="auto"/>
          <w:szCs w:val="24"/>
          <w14:ligatures w14:val="standardContextual"/>
        </w:rPr>
        <w:t>，</w:t>
      </w:r>
      <w:r>
        <w:rPr>
          <w:rFonts w:cs="Times New Roman"/>
          <w:color w:val="auto"/>
          <w:szCs w:val="24"/>
        </w:rPr>
        <w:t>原因是每个焚烧炉只一备一用，共储备3个气罐，不需要原设计面积；</w:t>
      </w:r>
      <w:r>
        <w:rPr>
          <w:rFonts w:ascii="Cambria Math" w:hAnsi="Cambria Math" w:cs="Cambria Math"/>
          <w:color w:val="auto"/>
          <w:szCs w:val="24"/>
        </w:rPr>
        <w:t>③</w:t>
      </w:r>
      <w:r>
        <w:rPr>
          <w:rFonts w:cs="Times New Roman"/>
          <w:color w:val="auto"/>
          <w:szCs w:val="24"/>
        </w:rPr>
        <w:t>胶合有机废气由DA002排放，改为由DA001排放，原因是根据厂区平面图设计，结合生产工艺的实际情况，优化场地管道走向；</w:t>
      </w:r>
      <w:r>
        <w:rPr>
          <w:rFonts w:ascii="Cambria Math" w:hAnsi="Cambria Math" w:cs="Cambria Math"/>
          <w:color w:val="auto"/>
          <w:szCs w:val="24"/>
        </w:rPr>
        <w:t>④</w:t>
      </w:r>
      <w:r>
        <w:rPr>
          <w:rFonts w:cs="Times New Roman"/>
          <w:color w:val="auto"/>
          <w:szCs w:val="24"/>
        </w:rPr>
        <w:t>一般固废间占地面积由15m</w:t>
      </w:r>
      <w:r>
        <w:rPr>
          <w:rFonts w:cs="Times New Roman"/>
          <w:color w:val="auto"/>
          <w:szCs w:val="24"/>
          <w:vertAlign w:val="superscript"/>
        </w:rPr>
        <w:t>2</w:t>
      </w:r>
      <w:r>
        <w:rPr>
          <w:rFonts w:cs="Times New Roman"/>
          <w:color w:val="auto"/>
          <w:szCs w:val="24"/>
        </w:rPr>
        <w:t>减小为8m</w:t>
      </w:r>
      <w:r>
        <w:rPr>
          <w:rFonts w:cs="Times New Roman"/>
          <w:color w:val="auto"/>
          <w:szCs w:val="24"/>
          <w:vertAlign w:val="superscript"/>
        </w:rPr>
        <w:t>2</w:t>
      </w:r>
      <w:r>
        <w:rPr>
          <w:rFonts w:cs="Times New Roman"/>
          <w:color w:val="auto"/>
          <w:szCs w:val="24"/>
        </w:rPr>
        <w:t>；原因</w:t>
      </w:r>
      <w:r>
        <w:rPr>
          <w:rFonts w:hint="eastAsia" w:cs="Times New Roman"/>
          <w:color w:val="auto"/>
          <w:szCs w:val="24"/>
        </w:rPr>
        <w:t>是减少固体废物的贮存周期，提供清运频次，不需要原设计面积</w:t>
      </w:r>
      <w:r>
        <w:rPr>
          <w:rFonts w:cs="Times New Roman"/>
          <w:color w:val="auto"/>
          <w:szCs w:val="24"/>
        </w:rPr>
        <w:t>；</w:t>
      </w:r>
      <w:r>
        <w:rPr>
          <w:rFonts w:ascii="Cambria Math" w:hAnsi="Cambria Math" w:cs="Cambria Math"/>
          <w:color w:val="auto"/>
          <w:szCs w:val="24"/>
        </w:rPr>
        <w:t>⑤</w:t>
      </w:r>
      <w:r>
        <w:rPr>
          <w:rFonts w:cs="Times New Roman"/>
          <w:color w:val="auto"/>
          <w:szCs w:val="24"/>
        </w:rPr>
        <w:t>危废间占地面积由22m</w:t>
      </w:r>
      <w:r>
        <w:rPr>
          <w:rFonts w:cs="Times New Roman"/>
          <w:color w:val="auto"/>
          <w:szCs w:val="24"/>
          <w:vertAlign w:val="superscript"/>
        </w:rPr>
        <w:t>2</w:t>
      </w:r>
      <w:r>
        <w:rPr>
          <w:rFonts w:cs="Times New Roman"/>
          <w:color w:val="auto"/>
          <w:szCs w:val="24"/>
        </w:rPr>
        <w:t>减小为12m</w:t>
      </w:r>
      <w:r>
        <w:rPr>
          <w:rFonts w:cs="Times New Roman"/>
          <w:color w:val="auto"/>
          <w:szCs w:val="24"/>
          <w:vertAlign w:val="superscript"/>
        </w:rPr>
        <w:t>2</w:t>
      </w:r>
      <w:r>
        <w:rPr>
          <w:rFonts w:cs="Times New Roman"/>
          <w:color w:val="auto"/>
          <w:szCs w:val="24"/>
        </w:rPr>
        <w:t>；原因</w:t>
      </w:r>
      <w:r>
        <w:rPr>
          <w:rFonts w:hint="eastAsia" w:cs="Times New Roman"/>
          <w:color w:val="auto"/>
          <w:szCs w:val="24"/>
        </w:rPr>
        <w:t>是减少危险废物的贮存周期，增加危险废物的周转次数，废机油、废液压油、废乳化油、沾染乳化油的金属碎屑、废干式过滤器介质、废清抹布、废拉丝布、含油废抹布及手套、漆渣由1年更换一次变为6个月更换一次；废原辅料包装桶由六个月更换一次变为3个月更换一次；废活性炭由4个月更换一次变为2个月更换一次</w:t>
      </w:r>
      <w:r>
        <w:rPr>
          <w:rFonts w:cs="Times New Roman"/>
          <w:color w:val="auto"/>
          <w:szCs w:val="24"/>
        </w:rPr>
        <w:t>；其他辅助工程</w:t>
      </w:r>
      <w:r>
        <w:rPr>
          <w:rFonts w:hint="eastAsia" w:cs="Times New Roman"/>
          <w:color w:val="auto"/>
          <w:szCs w:val="24"/>
        </w:rPr>
        <w:t>及配套设施</w:t>
      </w:r>
      <w:r>
        <w:rPr>
          <w:rFonts w:cs="Times New Roman"/>
          <w:color w:val="auto"/>
          <w:szCs w:val="24"/>
        </w:rPr>
        <w:t>均未发生变动。</w:t>
      </w:r>
    </w:p>
    <w:p>
      <w:pPr>
        <w:ind w:firstLine="480"/>
        <w:jc w:val="left"/>
        <w:rPr>
          <w:rFonts w:cs="Times New Roman"/>
          <w:color w:val="auto"/>
          <w:szCs w:val="24"/>
        </w:rPr>
        <w:sectPr>
          <w:pgSz w:w="16838" w:h="11906" w:orient="landscape"/>
          <w:pgMar w:top="1800" w:right="1440" w:bottom="1800" w:left="1440" w:header="851" w:footer="992" w:gutter="0"/>
          <w:cols w:space="425" w:num="1"/>
          <w:docGrid w:type="lines" w:linePitch="326" w:charSpace="0"/>
        </w:sectPr>
      </w:pPr>
      <w:r>
        <w:rPr>
          <w:rFonts w:cs="Times New Roman"/>
          <w:color w:val="auto"/>
          <w:szCs w:val="24"/>
        </w:rPr>
        <w:t>因此，项目建设内容变动不属于重大变动。</w:t>
      </w:r>
    </w:p>
    <w:p>
      <w:pPr>
        <w:ind w:firstLine="0" w:firstLineChars="0"/>
        <w:rPr>
          <w:rFonts w:hint="eastAsia" w:ascii="宋体" w:hAnsi="宋体" w:cs="Calibri"/>
          <w:b/>
          <w:bCs/>
          <w:color w:val="auto"/>
          <w:sz w:val="28"/>
          <w:szCs w:val="24"/>
        </w:rPr>
      </w:pPr>
      <w:bookmarkStart w:id="31" w:name="OLE_LINK7"/>
      <w:r>
        <w:rPr>
          <w:rFonts w:hint="eastAsia" w:ascii="宋体" w:hAnsi="宋体" w:cs="Calibri"/>
          <w:b/>
          <w:bCs/>
          <w:color w:val="auto"/>
          <w:sz w:val="28"/>
          <w:szCs w:val="24"/>
        </w:rPr>
        <w:t>3.7.3项目主要原辅材料及燃料变动情况</w:t>
      </w:r>
    </w:p>
    <w:bookmarkEnd w:id="31"/>
    <w:p>
      <w:pPr>
        <w:ind w:firstLine="480"/>
        <w:rPr>
          <w:color w:val="auto"/>
        </w:rPr>
      </w:pPr>
      <w:r>
        <w:rPr>
          <w:rFonts w:hint="eastAsia"/>
          <w:color w:val="auto"/>
        </w:rPr>
        <w:t>根据本章3.3小节相关内容，本项目主要原辅材料及燃料未发生变动。</w:t>
      </w:r>
    </w:p>
    <w:p>
      <w:pPr>
        <w:ind w:firstLineChars="71"/>
        <w:rPr>
          <w:rFonts w:hint="eastAsia" w:ascii="宋体" w:hAnsi="宋体" w:cs="Calibri"/>
          <w:b/>
          <w:bCs/>
          <w:color w:val="auto"/>
          <w:sz w:val="28"/>
          <w:szCs w:val="24"/>
        </w:rPr>
      </w:pPr>
      <w:r>
        <w:rPr>
          <w:rFonts w:hint="eastAsia" w:ascii="宋体" w:hAnsi="宋体" w:cs="Calibri"/>
          <w:b/>
          <w:bCs/>
          <w:color w:val="auto"/>
          <w:sz w:val="28"/>
          <w:szCs w:val="24"/>
        </w:rPr>
        <w:t>3.7.4项目主要生产工艺变动情况</w:t>
      </w:r>
    </w:p>
    <w:p>
      <w:pPr>
        <w:ind w:firstLine="480"/>
        <w:rPr>
          <w:color w:val="auto"/>
        </w:rPr>
      </w:pPr>
      <w:r>
        <w:rPr>
          <w:rFonts w:hint="eastAsia"/>
          <w:color w:val="auto"/>
        </w:rPr>
        <w:t>根据本章3.6小节相关内容，本项目主要生产工艺与环评阶段一致。</w:t>
      </w:r>
    </w:p>
    <w:p>
      <w:pPr>
        <w:ind w:firstLine="480"/>
        <w:rPr>
          <w:color w:val="auto"/>
        </w:rPr>
      </w:pPr>
      <w:r>
        <w:rPr>
          <w:rFonts w:hint="eastAsia"/>
          <w:color w:val="auto"/>
        </w:rPr>
        <w:t>参照《污染影响类建设项目重大变动清单（试行）》（环办环评函〔2020〕688号），本项目变动内容与《污染影响类建设项目重大变动清单》对照一览表如下。</w:t>
      </w:r>
    </w:p>
    <w:p>
      <w:pPr>
        <w:pStyle w:val="37"/>
        <w:rPr>
          <w:color w:val="auto"/>
        </w:rPr>
      </w:pPr>
      <w:r>
        <w:rPr>
          <w:rFonts w:hint="eastAsia"/>
          <w:color w:val="auto"/>
        </w:rPr>
        <w:t xml:space="preserve">表 </w:t>
      </w:r>
      <w:r>
        <w:rPr>
          <w:color w:val="auto"/>
        </w:rPr>
        <w:fldChar w:fldCharType="begin"/>
      </w:r>
      <w:r>
        <w:rPr>
          <w:color w:val="auto"/>
        </w:rPr>
        <w:instrText xml:space="preserve"> </w:instrText>
      </w:r>
      <w:r>
        <w:rPr>
          <w:rFonts w:hint="eastAsia"/>
          <w:color w:val="auto"/>
        </w:rPr>
        <w:instrText xml:space="preserve">STYLEREF 2 \s</w:instrText>
      </w:r>
      <w:r>
        <w:rPr>
          <w:color w:val="auto"/>
        </w:rPr>
        <w:instrText xml:space="preserve"> </w:instrText>
      </w:r>
      <w:r>
        <w:rPr>
          <w:color w:val="auto"/>
        </w:rPr>
        <w:fldChar w:fldCharType="separate"/>
      </w:r>
      <w:r>
        <w:rPr>
          <w:color w:val="auto"/>
        </w:rPr>
        <w:t>3.</w:t>
      </w:r>
      <w:r>
        <w:rPr>
          <w:rFonts w:hint="eastAsia"/>
          <w:color w:val="auto"/>
        </w:rPr>
        <w:t>7</w:t>
      </w:r>
      <w:r>
        <w:rPr>
          <w:color w:val="auto"/>
        </w:rPr>
        <w:fldChar w:fldCharType="end"/>
      </w:r>
      <w:r>
        <w:rPr>
          <w:color w:val="auto"/>
        </w:rPr>
        <w:noBreakHyphen/>
      </w:r>
      <w:r>
        <w:rPr>
          <w:color w:val="auto"/>
        </w:rPr>
        <w:fldChar w:fldCharType="begin"/>
      </w:r>
      <w:r>
        <w:rPr>
          <w:color w:val="auto"/>
        </w:rPr>
        <w:instrText xml:space="preserve"> </w:instrText>
      </w:r>
      <w:r>
        <w:rPr>
          <w:rFonts w:hint="eastAsia"/>
          <w:color w:val="auto"/>
        </w:rPr>
        <w:instrText xml:space="preserve">SEQ 表 \* ARABIC \s 2</w:instrText>
      </w:r>
      <w:r>
        <w:rPr>
          <w:color w:val="auto"/>
        </w:rPr>
        <w:instrText xml:space="preserve"> </w:instrText>
      </w:r>
      <w:r>
        <w:rPr>
          <w:color w:val="auto"/>
        </w:rPr>
        <w:fldChar w:fldCharType="separate"/>
      </w:r>
      <w:r>
        <w:rPr>
          <w:color w:val="auto"/>
        </w:rPr>
        <w:t>1</w:t>
      </w:r>
      <w:r>
        <w:rPr>
          <w:color w:val="auto"/>
        </w:rPr>
        <w:fldChar w:fldCharType="end"/>
      </w:r>
      <w:r>
        <w:rPr>
          <w:color w:val="auto"/>
        </w:rPr>
        <w:t xml:space="preserve">  </w:t>
      </w:r>
      <w:r>
        <w:rPr>
          <w:rFonts w:hint="eastAsia"/>
          <w:color w:val="auto"/>
        </w:rPr>
        <w:t>与《污染影响类建设项目重大变动清单（试行）》对照判定一览表</w:t>
      </w:r>
    </w:p>
    <w:tbl>
      <w:tblPr>
        <w:tblStyle w:val="24"/>
        <w:tblW w:w="833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565"/>
        <w:gridCol w:w="569"/>
        <w:gridCol w:w="5273"/>
        <w:gridCol w:w="1084"/>
        <w:gridCol w:w="8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40" w:hRule="atLeast"/>
          <w:tblHeader/>
        </w:trPr>
        <w:tc>
          <w:tcPr>
            <w:tcW w:w="565" w:type="dxa"/>
            <w:tcMar>
              <w:top w:w="15" w:type="dxa"/>
              <w:left w:w="15" w:type="dxa"/>
              <w:bottom w:w="0" w:type="dxa"/>
              <w:right w:w="15" w:type="dxa"/>
            </w:tcMar>
            <w:vAlign w:val="center"/>
          </w:tcPr>
          <w:p>
            <w:pPr>
              <w:pStyle w:val="33"/>
              <w:rPr>
                <w:b/>
                <w:color w:val="auto"/>
              </w:rPr>
            </w:pPr>
            <w:r>
              <w:rPr>
                <w:b/>
                <w:color w:val="auto"/>
              </w:rPr>
              <w:t>序号</w:t>
            </w:r>
          </w:p>
        </w:tc>
        <w:tc>
          <w:tcPr>
            <w:tcW w:w="569" w:type="dxa"/>
            <w:tcMar>
              <w:top w:w="15" w:type="dxa"/>
              <w:left w:w="15" w:type="dxa"/>
              <w:bottom w:w="0" w:type="dxa"/>
              <w:right w:w="15" w:type="dxa"/>
            </w:tcMar>
            <w:vAlign w:val="center"/>
          </w:tcPr>
          <w:p>
            <w:pPr>
              <w:pStyle w:val="33"/>
              <w:rPr>
                <w:b/>
                <w:color w:val="auto"/>
              </w:rPr>
            </w:pPr>
            <w:r>
              <w:rPr>
                <w:rFonts w:hint="eastAsia"/>
                <w:b/>
                <w:color w:val="auto"/>
              </w:rPr>
              <w:t>类别</w:t>
            </w:r>
          </w:p>
        </w:tc>
        <w:tc>
          <w:tcPr>
            <w:tcW w:w="5273" w:type="dxa"/>
            <w:tcMar>
              <w:top w:w="15" w:type="dxa"/>
              <w:left w:w="15" w:type="dxa"/>
              <w:bottom w:w="0" w:type="dxa"/>
              <w:right w:w="15" w:type="dxa"/>
            </w:tcMar>
            <w:vAlign w:val="center"/>
          </w:tcPr>
          <w:p>
            <w:pPr>
              <w:pStyle w:val="33"/>
              <w:rPr>
                <w:b/>
                <w:color w:val="auto"/>
              </w:rPr>
            </w:pPr>
            <w:r>
              <w:rPr>
                <w:b/>
                <w:color w:val="auto"/>
              </w:rPr>
              <w:t>判定原则</w:t>
            </w:r>
          </w:p>
        </w:tc>
        <w:tc>
          <w:tcPr>
            <w:tcW w:w="1084" w:type="dxa"/>
            <w:tcMar>
              <w:top w:w="15" w:type="dxa"/>
              <w:left w:w="15" w:type="dxa"/>
              <w:bottom w:w="0" w:type="dxa"/>
              <w:right w:w="15" w:type="dxa"/>
            </w:tcMar>
            <w:vAlign w:val="center"/>
          </w:tcPr>
          <w:p>
            <w:pPr>
              <w:pStyle w:val="33"/>
              <w:rPr>
                <w:b/>
                <w:color w:val="auto"/>
              </w:rPr>
            </w:pPr>
            <w:r>
              <w:rPr>
                <w:b/>
                <w:color w:val="auto"/>
              </w:rPr>
              <w:t>变动工程</w:t>
            </w:r>
          </w:p>
        </w:tc>
        <w:tc>
          <w:tcPr>
            <w:tcW w:w="845" w:type="dxa"/>
            <w:tcMar>
              <w:top w:w="15" w:type="dxa"/>
              <w:left w:w="15" w:type="dxa"/>
              <w:bottom w:w="0" w:type="dxa"/>
              <w:right w:w="15" w:type="dxa"/>
            </w:tcMar>
            <w:vAlign w:val="center"/>
          </w:tcPr>
          <w:p>
            <w:pPr>
              <w:pStyle w:val="33"/>
              <w:rPr>
                <w:b/>
                <w:color w:val="auto"/>
              </w:rPr>
            </w:pPr>
            <w:r>
              <w:rPr>
                <w:b/>
                <w:color w:val="auto"/>
              </w:rPr>
              <w:t>是否重大变动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40" w:hRule="atLeast"/>
        </w:trPr>
        <w:tc>
          <w:tcPr>
            <w:tcW w:w="565" w:type="dxa"/>
            <w:tcMar>
              <w:top w:w="15" w:type="dxa"/>
              <w:left w:w="15" w:type="dxa"/>
              <w:bottom w:w="0" w:type="dxa"/>
              <w:right w:w="15" w:type="dxa"/>
            </w:tcMar>
            <w:vAlign w:val="center"/>
          </w:tcPr>
          <w:p>
            <w:pPr>
              <w:pStyle w:val="33"/>
              <w:rPr>
                <w:color w:val="auto"/>
              </w:rPr>
            </w:pPr>
            <w:r>
              <w:rPr>
                <w:rFonts w:hint="eastAsia"/>
                <w:color w:val="auto"/>
              </w:rPr>
              <w:t>1</w:t>
            </w:r>
          </w:p>
        </w:tc>
        <w:tc>
          <w:tcPr>
            <w:tcW w:w="569" w:type="dxa"/>
            <w:tcMar>
              <w:top w:w="15" w:type="dxa"/>
              <w:left w:w="15" w:type="dxa"/>
              <w:bottom w:w="0" w:type="dxa"/>
              <w:right w:w="15" w:type="dxa"/>
            </w:tcMar>
            <w:vAlign w:val="center"/>
          </w:tcPr>
          <w:p>
            <w:pPr>
              <w:pStyle w:val="33"/>
              <w:rPr>
                <w:color w:val="auto"/>
              </w:rPr>
            </w:pPr>
            <w:r>
              <w:rPr>
                <w:rFonts w:hint="eastAsia"/>
                <w:color w:val="auto"/>
              </w:rPr>
              <w:t>性质</w:t>
            </w:r>
          </w:p>
        </w:tc>
        <w:tc>
          <w:tcPr>
            <w:tcW w:w="5273" w:type="dxa"/>
            <w:tcMar>
              <w:top w:w="15" w:type="dxa"/>
              <w:left w:w="15" w:type="dxa"/>
              <w:bottom w:w="0" w:type="dxa"/>
              <w:right w:w="15" w:type="dxa"/>
            </w:tcMar>
            <w:vAlign w:val="center"/>
          </w:tcPr>
          <w:p>
            <w:pPr>
              <w:pStyle w:val="33"/>
              <w:rPr>
                <w:color w:val="auto"/>
              </w:rPr>
            </w:pPr>
            <w:r>
              <w:rPr>
                <w:rFonts w:hint="eastAsia"/>
                <w:color w:val="auto"/>
              </w:rPr>
              <w:t>建设项目开发、使用功能发生变化的</w:t>
            </w:r>
          </w:p>
        </w:tc>
        <w:tc>
          <w:tcPr>
            <w:tcW w:w="1084" w:type="dxa"/>
            <w:tcMar>
              <w:top w:w="15" w:type="dxa"/>
              <w:left w:w="15" w:type="dxa"/>
              <w:bottom w:w="0" w:type="dxa"/>
              <w:right w:w="15" w:type="dxa"/>
            </w:tcMar>
            <w:vAlign w:val="center"/>
          </w:tcPr>
          <w:p>
            <w:pPr>
              <w:pStyle w:val="33"/>
              <w:rPr>
                <w:color w:val="auto"/>
              </w:rPr>
            </w:pPr>
            <w:r>
              <w:rPr>
                <w:rFonts w:hint="eastAsia"/>
                <w:color w:val="auto"/>
              </w:rPr>
              <w:t>无变化</w:t>
            </w:r>
          </w:p>
        </w:tc>
        <w:tc>
          <w:tcPr>
            <w:tcW w:w="845" w:type="dxa"/>
            <w:tcMar>
              <w:top w:w="15" w:type="dxa"/>
              <w:left w:w="15" w:type="dxa"/>
              <w:bottom w:w="0" w:type="dxa"/>
              <w:right w:w="15" w:type="dxa"/>
            </w:tcMar>
            <w:vAlign w:val="center"/>
          </w:tcPr>
          <w:p>
            <w:pPr>
              <w:pStyle w:val="33"/>
              <w:rPr>
                <w:color w:val="auto"/>
              </w:rPr>
            </w:pPr>
            <w:r>
              <w:rPr>
                <w:rFonts w:hint="eastAsia"/>
                <w:color w:val="auto"/>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40" w:hRule="atLeast"/>
        </w:trPr>
        <w:tc>
          <w:tcPr>
            <w:tcW w:w="565" w:type="dxa"/>
            <w:tcMar>
              <w:top w:w="15" w:type="dxa"/>
              <w:left w:w="15" w:type="dxa"/>
              <w:bottom w:w="0" w:type="dxa"/>
              <w:right w:w="15" w:type="dxa"/>
            </w:tcMar>
            <w:vAlign w:val="center"/>
          </w:tcPr>
          <w:p>
            <w:pPr>
              <w:pStyle w:val="33"/>
              <w:rPr>
                <w:color w:val="auto"/>
              </w:rPr>
            </w:pPr>
            <w:r>
              <w:rPr>
                <w:color w:val="auto"/>
              </w:rPr>
              <w:t>2</w:t>
            </w:r>
          </w:p>
        </w:tc>
        <w:tc>
          <w:tcPr>
            <w:tcW w:w="569" w:type="dxa"/>
            <w:vMerge w:val="restart"/>
            <w:tcMar>
              <w:top w:w="15" w:type="dxa"/>
              <w:left w:w="15" w:type="dxa"/>
              <w:bottom w:w="0" w:type="dxa"/>
              <w:right w:w="15" w:type="dxa"/>
            </w:tcMar>
            <w:vAlign w:val="center"/>
          </w:tcPr>
          <w:p>
            <w:pPr>
              <w:pStyle w:val="33"/>
              <w:rPr>
                <w:color w:val="auto"/>
              </w:rPr>
            </w:pPr>
            <w:r>
              <w:rPr>
                <w:rFonts w:hint="eastAsia"/>
                <w:color w:val="auto"/>
              </w:rPr>
              <w:t>规模</w:t>
            </w:r>
          </w:p>
        </w:tc>
        <w:tc>
          <w:tcPr>
            <w:tcW w:w="5273" w:type="dxa"/>
            <w:tcMar>
              <w:top w:w="15" w:type="dxa"/>
              <w:left w:w="15" w:type="dxa"/>
              <w:bottom w:w="0" w:type="dxa"/>
              <w:right w:w="15" w:type="dxa"/>
            </w:tcMar>
            <w:vAlign w:val="center"/>
          </w:tcPr>
          <w:p>
            <w:pPr>
              <w:pStyle w:val="33"/>
              <w:rPr>
                <w:color w:val="auto"/>
              </w:rPr>
            </w:pPr>
            <w:r>
              <w:rPr>
                <w:rFonts w:hint="eastAsia"/>
                <w:color w:val="auto"/>
              </w:rPr>
              <w:t>生产、处置或储存能力增大</w:t>
            </w:r>
            <w:r>
              <w:rPr>
                <w:color w:val="auto"/>
              </w:rPr>
              <w:t>30</w:t>
            </w:r>
            <w:r>
              <w:rPr>
                <w:rFonts w:hint="eastAsia"/>
                <w:color w:val="auto"/>
              </w:rPr>
              <w:t>%及以上的</w:t>
            </w:r>
          </w:p>
        </w:tc>
        <w:tc>
          <w:tcPr>
            <w:tcW w:w="1084" w:type="dxa"/>
            <w:tcMar>
              <w:top w:w="15" w:type="dxa"/>
              <w:left w:w="15" w:type="dxa"/>
              <w:bottom w:w="0" w:type="dxa"/>
              <w:right w:w="15" w:type="dxa"/>
            </w:tcMar>
            <w:vAlign w:val="center"/>
          </w:tcPr>
          <w:p>
            <w:pPr>
              <w:pStyle w:val="33"/>
              <w:rPr>
                <w:color w:val="auto"/>
              </w:rPr>
            </w:pPr>
            <w:r>
              <w:rPr>
                <w:rFonts w:hint="eastAsia"/>
                <w:color w:val="auto"/>
              </w:rPr>
              <w:t>无变化</w:t>
            </w:r>
          </w:p>
        </w:tc>
        <w:tc>
          <w:tcPr>
            <w:tcW w:w="845" w:type="dxa"/>
            <w:tcMar>
              <w:top w:w="15" w:type="dxa"/>
              <w:left w:w="15" w:type="dxa"/>
              <w:bottom w:w="0" w:type="dxa"/>
              <w:right w:w="15" w:type="dxa"/>
            </w:tcMar>
            <w:vAlign w:val="center"/>
          </w:tcPr>
          <w:p>
            <w:pPr>
              <w:pStyle w:val="33"/>
              <w:rPr>
                <w:color w:val="auto"/>
              </w:rPr>
            </w:pPr>
            <w:r>
              <w:rPr>
                <w:rFonts w:hint="eastAsia"/>
                <w:color w:val="auto"/>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40" w:hRule="atLeast"/>
        </w:trPr>
        <w:tc>
          <w:tcPr>
            <w:tcW w:w="565" w:type="dxa"/>
            <w:tcMar>
              <w:top w:w="15" w:type="dxa"/>
              <w:left w:w="15" w:type="dxa"/>
              <w:bottom w:w="0" w:type="dxa"/>
              <w:right w:w="15" w:type="dxa"/>
            </w:tcMar>
            <w:vAlign w:val="center"/>
          </w:tcPr>
          <w:p>
            <w:pPr>
              <w:pStyle w:val="33"/>
              <w:rPr>
                <w:color w:val="auto"/>
              </w:rPr>
            </w:pPr>
            <w:r>
              <w:rPr>
                <w:color w:val="auto"/>
              </w:rPr>
              <w:t>3</w:t>
            </w:r>
          </w:p>
        </w:tc>
        <w:tc>
          <w:tcPr>
            <w:tcW w:w="569" w:type="dxa"/>
            <w:vMerge w:val="continue"/>
            <w:tcMar>
              <w:top w:w="15" w:type="dxa"/>
              <w:left w:w="15" w:type="dxa"/>
              <w:bottom w:w="0" w:type="dxa"/>
              <w:right w:w="15" w:type="dxa"/>
            </w:tcMar>
            <w:vAlign w:val="center"/>
          </w:tcPr>
          <w:p>
            <w:pPr>
              <w:pStyle w:val="33"/>
              <w:rPr>
                <w:color w:val="auto"/>
              </w:rPr>
            </w:pPr>
          </w:p>
        </w:tc>
        <w:tc>
          <w:tcPr>
            <w:tcW w:w="5273" w:type="dxa"/>
            <w:tcMar>
              <w:top w:w="15" w:type="dxa"/>
              <w:left w:w="15" w:type="dxa"/>
              <w:bottom w:w="0" w:type="dxa"/>
              <w:right w:w="15" w:type="dxa"/>
            </w:tcMar>
            <w:vAlign w:val="center"/>
          </w:tcPr>
          <w:p>
            <w:pPr>
              <w:pStyle w:val="33"/>
              <w:rPr>
                <w:color w:val="auto"/>
              </w:rPr>
            </w:pPr>
            <w:r>
              <w:rPr>
                <w:rFonts w:hint="eastAsia"/>
                <w:color w:val="auto"/>
              </w:rPr>
              <w:t>生产、处置或储存能力增大，导致废水第一类污染物排放量增加的</w:t>
            </w:r>
          </w:p>
        </w:tc>
        <w:tc>
          <w:tcPr>
            <w:tcW w:w="1084" w:type="dxa"/>
            <w:tcMar>
              <w:top w:w="15" w:type="dxa"/>
              <w:left w:w="15" w:type="dxa"/>
              <w:bottom w:w="0" w:type="dxa"/>
              <w:right w:w="15" w:type="dxa"/>
            </w:tcMar>
            <w:vAlign w:val="center"/>
          </w:tcPr>
          <w:p>
            <w:pPr>
              <w:pStyle w:val="33"/>
              <w:rPr>
                <w:color w:val="auto"/>
              </w:rPr>
            </w:pPr>
            <w:r>
              <w:rPr>
                <w:rFonts w:hint="eastAsia"/>
                <w:color w:val="auto"/>
              </w:rPr>
              <w:t>无变化</w:t>
            </w:r>
          </w:p>
        </w:tc>
        <w:tc>
          <w:tcPr>
            <w:tcW w:w="845" w:type="dxa"/>
            <w:tcMar>
              <w:top w:w="15" w:type="dxa"/>
              <w:left w:w="15" w:type="dxa"/>
              <w:bottom w:w="0" w:type="dxa"/>
              <w:right w:w="15" w:type="dxa"/>
            </w:tcMar>
            <w:vAlign w:val="center"/>
          </w:tcPr>
          <w:p>
            <w:pPr>
              <w:pStyle w:val="33"/>
              <w:rPr>
                <w:color w:val="auto"/>
              </w:rPr>
            </w:pPr>
            <w:r>
              <w:rPr>
                <w:rFonts w:hint="eastAsia"/>
                <w:color w:val="auto"/>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40" w:hRule="atLeast"/>
        </w:trPr>
        <w:tc>
          <w:tcPr>
            <w:tcW w:w="565" w:type="dxa"/>
            <w:tcMar>
              <w:top w:w="15" w:type="dxa"/>
              <w:left w:w="15" w:type="dxa"/>
              <w:bottom w:w="0" w:type="dxa"/>
              <w:right w:w="15" w:type="dxa"/>
            </w:tcMar>
            <w:vAlign w:val="center"/>
          </w:tcPr>
          <w:p>
            <w:pPr>
              <w:pStyle w:val="33"/>
              <w:rPr>
                <w:color w:val="auto"/>
              </w:rPr>
            </w:pPr>
            <w:r>
              <w:rPr>
                <w:color w:val="auto"/>
              </w:rPr>
              <w:t>4</w:t>
            </w:r>
          </w:p>
        </w:tc>
        <w:tc>
          <w:tcPr>
            <w:tcW w:w="569" w:type="dxa"/>
            <w:vMerge w:val="continue"/>
            <w:tcMar>
              <w:top w:w="15" w:type="dxa"/>
              <w:left w:w="15" w:type="dxa"/>
              <w:bottom w:w="0" w:type="dxa"/>
              <w:right w:w="15" w:type="dxa"/>
            </w:tcMar>
            <w:vAlign w:val="center"/>
          </w:tcPr>
          <w:p>
            <w:pPr>
              <w:pStyle w:val="33"/>
              <w:rPr>
                <w:color w:val="auto"/>
              </w:rPr>
            </w:pPr>
          </w:p>
        </w:tc>
        <w:tc>
          <w:tcPr>
            <w:tcW w:w="5273" w:type="dxa"/>
            <w:tcMar>
              <w:top w:w="15" w:type="dxa"/>
              <w:left w:w="15" w:type="dxa"/>
              <w:bottom w:w="0" w:type="dxa"/>
              <w:right w:w="15" w:type="dxa"/>
            </w:tcMar>
            <w:vAlign w:val="center"/>
          </w:tcPr>
          <w:p>
            <w:pPr>
              <w:pStyle w:val="33"/>
              <w:rPr>
                <w:color w:val="auto"/>
              </w:rPr>
            </w:pPr>
            <w:r>
              <w:rPr>
                <w:rFonts w:hint="eastAsia"/>
                <w:color w:val="auto"/>
              </w:rPr>
              <w:t>位于环境质量不达标区的建设项目生产、处置或储存能力增大，导致相应污染物排放量增加的（细颗粒物不达标区，相应污染物为二氧化硫、氮氧化物、可吸入颗粒物、挥发性有机物；臭氧不达标区，相应污染物为氮氧化物、挥发性有机物；其他大气、水污染物因子不达标区，相应污染物为超标污染因子）；位于达标区的建设项目生产、处置或储存能力增大，导致污染物排放量增加10%及以上的</w:t>
            </w:r>
          </w:p>
        </w:tc>
        <w:tc>
          <w:tcPr>
            <w:tcW w:w="1084" w:type="dxa"/>
            <w:tcMar>
              <w:top w:w="15" w:type="dxa"/>
              <w:left w:w="15" w:type="dxa"/>
              <w:bottom w:w="0" w:type="dxa"/>
              <w:right w:w="15" w:type="dxa"/>
            </w:tcMar>
            <w:vAlign w:val="center"/>
          </w:tcPr>
          <w:p>
            <w:pPr>
              <w:pStyle w:val="33"/>
              <w:rPr>
                <w:color w:val="auto"/>
              </w:rPr>
            </w:pPr>
            <w:r>
              <w:rPr>
                <w:rFonts w:hint="eastAsia"/>
                <w:color w:val="auto"/>
              </w:rPr>
              <w:t>无变化</w:t>
            </w:r>
          </w:p>
        </w:tc>
        <w:tc>
          <w:tcPr>
            <w:tcW w:w="845" w:type="dxa"/>
            <w:tcMar>
              <w:top w:w="15" w:type="dxa"/>
              <w:left w:w="15" w:type="dxa"/>
              <w:bottom w:w="0" w:type="dxa"/>
              <w:right w:w="15" w:type="dxa"/>
            </w:tcMar>
            <w:vAlign w:val="center"/>
          </w:tcPr>
          <w:p>
            <w:pPr>
              <w:pStyle w:val="33"/>
              <w:rPr>
                <w:color w:val="auto"/>
              </w:rPr>
            </w:pPr>
            <w:r>
              <w:rPr>
                <w:rFonts w:hint="eastAsia"/>
                <w:color w:val="auto"/>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40" w:hRule="atLeast"/>
        </w:trPr>
        <w:tc>
          <w:tcPr>
            <w:tcW w:w="565" w:type="dxa"/>
            <w:tcMar>
              <w:top w:w="15" w:type="dxa"/>
              <w:left w:w="15" w:type="dxa"/>
              <w:bottom w:w="0" w:type="dxa"/>
              <w:right w:w="15" w:type="dxa"/>
            </w:tcMar>
            <w:vAlign w:val="center"/>
          </w:tcPr>
          <w:p>
            <w:pPr>
              <w:pStyle w:val="33"/>
              <w:rPr>
                <w:color w:val="auto"/>
              </w:rPr>
            </w:pPr>
            <w:r>
              <w:rPr>
                <w:color w:val="auto"/>
              </w:rPr>
              <w:t>5</w:t>
            </w:r>
          </w:p>
        </w:tc>
        <w:tc>
          <w:tcPr>
            <w:tcW w:w="569" w:type="dxa"/>
            <w:tcMar>
              <w:top w:w="15" w:type="dxa"/>
              <w:left w:w="15" w:type="dxa"/>
              <w:bottom w:w="0" w:type="dxa"/>
              <w:right w:w="15" w:type="dxa"/>
            </w:tcMar>
            <w:vAlign w:val="center"/>
          </w:tcPr>
          <w:p>
            <w:pPr>
              <w:pStyle w:val="33"/>
              <w:rPr>
                <w:color w:val="auto"/>
              </w:rPr>
            </w:pPr>
            <w:r>
              <w:rPr>
                <w:rFonts w:hint="eastAsia"/>
                <w:color w:val="auto"/>
              </w:rPr>
              <w:t>建设地点</w:t>
            </w:r>
          </w:p>
        </w:tc>
        <w:tc>
          <w:tcPr>
            <w:tcW w:w="5273" w:type="dxa"/>
            <w:tcMar>
              <w:top w:w="15" w:type="dxa"/>
              <w:left w:w="15" w:type="dxa"/>
              <w:bottom w:w="0" w:type="dxa"/>
              <w:right w:w="15" w:type="dxa"/>
            </w:tcMar>
            <w:vAlign w:val="center"/>
          </w:tcPr>
          <w:p>
            <w:pPr>
              <w:pStyle w:val="33"/>
              <w:rPr>
                <w:color w:val="auto"/>
              </w:rPr>
            </w:pPr>
            <w:r>
              <w:rPr>
                <w:rFonts w:hint="eastAsia"/>
                <w:color w:val="auto"/>
              </w:rPr>
              <w:t>重新选址；在原厂址附近调整（包括总平面布置变化）导致环境防护距离范围变化且新增敏感点的</w:t>
            </w:r>
          </w:p>
        </w:tc>
        <w:tc>
          <w:tcPr>
            <w:tcW w:w="1084" w:type="dxa"/>
            <w:tcMar>
              <w:top w:w="15" w:type="dxa"/>
              <w:left w:w="15" w:type="dxa"/>
              <w:bottom w:w="0" w:type="dxa"/>
              <w:right w:w="15" w:type="dxa"/>
            </w:tcMar>
            <w:vAlign w:val="center"/>
          </w:tcPr>
          <w:p>
            <w:pPr>
              <w:pStyle w:val="33"/>
              <w:rPr>
                <w:color w:val="auto"/>
              </w:rPr>
            </w:pPr>
            <w:r>
              <w:rPr>
                <w:rFonts w:hint="eastAsia"/>
                <w:color w:val="auto"/>
              </w:rPr>
              <w:t>无变化</w:t>
            </w:r>
          </w:p>
        </w:tc>
        <w:tc>
          <w:tcPr>
            <w:tcW w:w="845" w:type="dxa"/>
            <w:tcMar>
              <w:top w:w="15" w:type="dxa"/>
              <w:left w:w="15" w:type="dxa"/>
              <w:bottom w:w="0" w:type="dxa"/>
              <w:right w:w="15" w:type="dxa"/>
            </w:tcMar>
            <w:vAlign w:val="center"/>
          </w:tcPr>
          <w:p>
            <w:pPr>
              <w:pStyle w:val="33"/>
              <w:rPr>
                <w:color w:val="auto"/>
              </w:rPr>
            </w:pPr>
            <w:r>
              <w:rPr>
                <w:rFonts w:hint="eastAsia"/>
                <w:color w:val="auto"/>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40" w:hRule="atLeast"/>
        </w:trPr>
        <w:tc>
          <w:tcPr>
            <w:tcW w:w="565" w:type="dxa"/>
            <w:tcMar>
              <w:top w:w="15" w:type="dxa"/>
              <w:left w:w="15" w:type="dxa"/>
              <w:bottom w:w="0" w:type="dxa"/>
              <w:right w:w="15" w:type="dxa"/>
            </w:tcMar>
            <w:vAlign w:val="center"/>
          </w:tcPr>
          <w:p>
            <w:pPr>
              <w:pStyle w:val="33"/>
              <w:rPr>
                <w:color w:val="auto"/>
              </w:rPr>
            </w:pPr>
            <w:r>
              <w:rPr>
                <w:color w:val="auto"/>
              </w:rPr>
              <w:t>6</w:t>
            </w:r>
          </w:p>
        </w:tc>
        <w:tc>
          <w:tcPr>
            <w:tcW w:w="569" w:type="dxa"/>
            <w:vMerge w:val="restart"/>
            <w:tcMar>
              <w:top w:w="15" w:type="dxa"/>
              <w:left w:w="15" w:type="dxa"/>
              <w:bottom w:w="0" w:type="dxa"/>
              <w:right w:w="15" w:type="dxa"/>
            </w:tcMar>
            <w:vAlign w:val="center"/>
          </w:tcPr>
          <w:p>
            <w:pPr>
              <w:pStyle w:val="33"/>
              <w:rPr>
                <w:color w:val="auto"/>
              </w:rPr>
            </w:pPr>
            <w:r>
              <w:rPr>
                <w:rFonts w:hint="eastAsia"/>
                <w:color w:val="auto"/>
              </w:rPr>
              <w:t>生产工艺</w:t>
            </w:r>
          </w:p>
        </w:tc>
        <w:tc>
          <w:tcPr>
            <w:tcW w:w="5273" w:type="dxa"/>
            <w:tcMar>
              <w:top w:w="15" w:type="dxa"/>
              <w:left w:w="15" w:type="dxa"/>
              <w:bottom w:w="0" w:type="dxa"/>
              <w:right w:w="15" w:type="dxa"/>
            </w:tcMar>
            <w:vAlign w:val="center"/>
          </w:tcPr>
          <w:p>
            <w:pPr>
              <w:pStyle w:val="33"/>
              <w:rPr>
                <w:color w:val="auto"/>
              </w:rPr>
            </w:pPr>
            <w:r>
              <w:rPr>
                <w:rFonts w:hint="eastAsia"/>
                <w:color w:val="auto"/>
              </w:rPr>
              <w:t>新增排放污染物种类的（毒性、挥发性降低的除外）</w:t>
            </w:r>
          </w:p>
        </w:tc>
        <w:tc>
          <w:tcPr>
            <w:tcW w:w="1084" w:type="dxa"/>
            <w:tcMar>
              <w:top w:w="15" w:type="dxa"/>
              <w:left w:w="15" w:type="dxa"/>
              <w:bottom w:w="0" w:type="dxa"/>
              <w:right w:w="15" w:type="dxa"/>
            </w:tcMar>
            <w:vAlign w:val="center"/>
          </w:tcPr>
          <w:p>
            <w:pPr>
              <w:pStyle w:val="33"/>
              <w:rPr>
                <w:color w:val="auto"/>
              </w:rPr>
            </w:pPr>
            <w:r>
              <w:rPr>
                <w:rFonts w:hint="eastAsia"/>
                <w:color w:val="auto"/>
              </w:rPr>
              <w:t>无变化</w:t>
            </w:r>
          </w:p>
        </w:tc>
        <w:tc>
          <w:tcPr>
            <w:tcW w:w="845" w:type="dxa"/>
            <w:tcMar>
              <w:top w:w="15" w:type="dxa"/>
              <w:left w:w="15" w:type="dxa"/>
              <w:bottom w:w="0" w:type="dxa"/>
              <w:right w:w="15" w:type="dxa"/>
            </w:tcMar>
            <w:vAlign w:val="center"/>
          </w:tcPr>
          <w:p>
            <w:pPr>
              <w:pStyle w:val="33"/>
              <w:rPr>
                <w:color w:val="auto"/>
              </w:rPr>
            </w:pPr>
            <w:r>
              <w:rPr>
                <w:rFonts w:hint="eastAsia"/>
                <w:color w:val="auto"/>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40" w:hRule="atLeast"/>
        </w:trPr>
        <w:tc>
          <w:tcPr>
            <w:tcW w:w="565" w:type="dxa"/>
            <w:tcMar>
              <w:top w:w="15" w:type="dxa"/>
              <w:left w:w="15" w:type="dxa"/>
              <w:bottom w:w="0" w:type="dxa"/>
              <w:right w:w="15" w:type="dxa"/>
            </w:tcMar>
            <w:vAlign w:val="center"/>
          </w:tcPr>
          <w:p>
            <w:pPr>
              <w:pStyle w:val="33"/>
              <w:rPr>
                <w:color w:val="auto"/>
              </w:rPr>
            </w:pPr>
            <w:r>
              <w:rPr>
                <w:color w:val="auto"/>
              </w:rPr>
              <w:t>7</w:t>
            </w:r>
          </w:p>
        </w:tc>
        <w:tc>
          <w:tcPr>
            <w:tcW w:w="569" w:type="dxa"/>
            <w:vMerge w:val="continue"/>
            <w:tcMar>
              <w:top w:w="15" w:type="dxa"/>
              <w:left w:w="15" w:type="dxa"/>
              <w:bottom w:w="0" w:type="dxa"/>
              <w:right w:w="15" w:type="dxa"/>
            </w:tcMar>
            <w:vAlign w:val="center"/>
          </w:tcPr>
          <w:p>
            <w:pPr>
              <w:pStyle w:val="33"/>
              <w:rPr>
                <w:color w:val="auto"/>
              </w:rPr>
            </w:pPr>
          </w:p>
        </w:tc>
        <w:tc>
          <w:tcPr>
            <w:tcW w:w="5273" w:type="dxa"/>
            <w:tcMar>
              <w:top w:w="15" w:type="dxa"/>
              <w:left w:w="15" w:type="dxa"/>
              <w:bottom w:w="0" w:type="dxa"/>
              <w:right w:w="15" w:type="dxa"/>
            </w:tcMar>
            <w:vAlign w:val="center"/>
          </w:tcPr>
          <w:p>
            <w:pPr>
              <w:pStyle w:val="33"/>
              <w:rPr>
                <w:color w:val="auto"/>
              </w:rPr>
            </w:pPr>
            <w:r>
              <w:rPr>
                <w:color w:val="auto"/>
              </w:rPr>
              <w:t>位于环境质量不达标区的建设项目相应污染物排放量增</w:t>
            </w:r>
            <w:r>
              <w:rPr>
                <w:rFonts w:hint="eastAsia"/>
                <w:color w:val="auto"/>
              </w:rPr>
              <w:t>加的</w:t>
            </w:r>
          </w:p>
        </w:tc>
        <w:tc>
          <w:tcPr>
            <w:tcW w:w="1084" w:type="dxa"/>
            <w:tcMar>
              <w:top w:w="15" w:type="dxa"/>
              <w:left w:w="15" w:type="dxa"/>
              <w:bottom w:w="0" w:type="dxa"/>
              <w:right w:w="15" w:type="dxa"/>
            </w:tcMar>
            <w:vAlign w:val="center"/>
          </w:tcPr>
          <w:p>
            <w:pPr>
              <w:pStyle w:val="33"/>
              <w:rPr>
                <w:color w:val="auto"/>
              </w:rPr>
            </w:pPr>
            <w:r>
              <w:rPr>
                <w:rFonts w:hint="eastAsia"/>
                <w:color w:val="auto"/>
              </w:rPr>
              <w:t>不涉及</w:t>
            </w:r>
          </w:p>
        </w:tc>
        <w:tc>
          <w:tcPr>
            <w:tcW w:w="845" w:type="dxa"/>
            <w:tcMar>
              <w:top w:w="15" w:type="dxa"/>
              <w:left w:w="15" w:type="dxa"/>
              <w:bottom w:w="0" w:type="dxa"/>
              <w:right w:w="15" w:type="dxa"/>
            </w:tcMar>
            <w:vAlign w:val="center"/>
          </w:tcPr>
          <w:p>
            <w:pPr>
              <w:pStyle w:val="33"/>
              <w:rPr>
                <w:color w:val="auto"/>
              </w:rPr>
            </w:pPr>
            <w:r>
              <w:rPr>
                <w:rFonts w:hint="eastAsia"/>
                <w:color w:val="auto"/>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40" w:hRule="atLeast"/>
        </w:trPr>
        <w:tc>
          <w:tcPr>
            <w:tcW w:w="565" w:type="dxa"/>
            <w:tcMar>
              <w:top w:w="15" w:type="dxa"/>
              <w:left w:w="15" w:type="dxa"/>
              <w:bottom w:w="0" w:type="dxa"/>
              <w:right w:w="15" w:type="dxa"/>
            </w:tcMar>
            <w:vAlign w:val="center"/>
          </w:tcPr>
          <w:p>
            <w:pPr>
              <w:pStyle w:val="33"/>
              <w:rPr>
                <w:color w:val="auto"/>
              </w:rPr>
            </w:pPr>
            <w:r>
              <w:rPr>
                <w:color w:val="auto"/>
              </w:rPr>
              <w:t>8</w:t>
            </w:r>
          </w:p>
        </w:tc>
        <w:tc>
          <w:tcPr>
            <w:tcW w:w="569" w:type="dxa"/>
            <w:vMerge w:val="continue"/>
            <w:tcMar>
              <w:top w:w="15" w:type="dxa"/>
              <w:left w:w="15" w:type="dxa"/>
              <w:bottom w:w="0" w:type="dxa"/>
              <w:right w:w="15" w:type="dxa"/>
            </w:tcMar>
            <w:vAlign w:val="center"/>
          </w:tcPr>
          <w:p>
            <w:pPr>
              <w:pStyle w:val="33"/>
              <w:rPr>
                <w:color w:val="auto"/>
              </w:rPr>
            </w:pPr>
          </w:p>
        </w:tc>
        <w:tc>
          <w:tcPr>
            <w:tcW w:w="5273" w:type="dxa"/>
            <w:tcMar>
              <w:top w:w="15" w:type="dxa"/>
              <w:left w:w="15" w:type="dxa"/>
              <w:bottom w:w="0" w:type="dxa"/>
              <w:right w:w="15" w:type="dxa"/>
            </w:tcMar>
            <w:vAlign w:val="center"/>
          </w:tcPr>
          <w:p>
            <w:pPr>
              <w:pStyle w:val="33"/>
              <w:rPr>
                <w:color w:val="auto"/>
              </w:rPr>
            </w:pPr>
            <w:r>
              <w:rPr>
                <w:color w:val="auto"/>
              </w:rPr>
              <w:t>废水第一类污染物排放量增加的</w:t>
            </w:r>
          </w:p>
        </w:tc>
        <w:tc>
          <w:tcPr>
            <w:tcW w:w="1084" w:type="dxa"/>
            <w:tcMar>
              <w:top w:w="15" w:type="dxa"/>
              <w:left w:w="15" w:type="dxa"/>
              <w:bottom w:w="0" w:type="dxa"/>
              <w:right w:w="15" w:type="dxa"/>
            </w:tcMar>
            <w:vAlign w:val="center"/>
          </w:tcPr>
          <w:p>
            <w:pPr>
              <w:pStyle w:val="33"/>
              <w:rPr>
                <w:color w:val="auto"/>
              </w:rPr>
            </w:pPr>
            <w:r>
              <w:rPr>
                <w:rFonts w:hint="eastAsia"/>
                <w:color w:val="auto"/>
              </w:rPr>
              <w:t>不涉及</w:t>
            </w:r>
          </w:p>
        </w:tc>
        <w:tc>
          <w:tcPr>
            <w:tcW w:w="845" w:type="dxa"/>
            <w:tcMar>
              <w:top w:w="15" w:type="dxa"/>
              <w:left w:w="15" w:type="dxa"/>
              <w:bottom w:w="0" w:type="dxa"/>
              <w:right w:w="15" w:type="dxa"/>
            </w:tcMar>
            <w:vAlign w:val="center"/>
          </w:tcPr>
          <w:p>
            <w:pPr>
              <w:pStyle w:val="33"/>
              <w:rPr>
                <w:color w:val="auto"/>
              </w:rPr>
            </w:pPr>
            <w:r>
              <w:rPr>
                <w:rFonts w:hint="eastAsia"/>
                <w:color w:val="auto"/>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40" w:hRule="atLeast"/>
        </w:trPr>
        <w:tc>
          <w:tcPr>
            <w:tcW w:w="565" w:type="dxa"/>
            <w:tcMar>
              <w:top w:w="15" w:type="dxa"/>
              <w:left w:w="15" w:type="dxa"/>
              <w:bottom w:w="0" w:type="dxa"/>
              <w:right w:w="15" w:type="dxa"/>
            </w:tcMar>
            <w:vAlign w:val="center"/>
          </w:tcPr>
          <w:p>
            <w:pPr>
              <w:pStyle w:val="33"/>
              <w:rPr>
                <w:color w:val="auto"/>
              </w:rPr>
            </w:pPr>
            <w:r>
              <w:rPr>
                <w:color w:val="auto"/>
              </w:rPr>
              <w:t>9</w:t>
            </w:r>
          </w:p>
        </w:tc>
        <w:tc>
          <w:tcPr>
            <w:tcW w:w="569" w:type="dxa"/>
            <w:vMerge w:val="continue"/>
            <w:tcMar>
              <w:top w:w="15" w:type="dxa"/>
              <w:left w:w="15" w:type="dxa"/>
              <w:bottom w:w="0" w:type="dxa"/>
              <w:right w:w="15" w:type="dxa"/>
            </w:tcMar>
            <w:vAlign w:val="center"/>
          </w:tcPr>
          <w:p>
            <w:pPr>
              <w:pStyle w:val="33"/>
              <w:rPr>
                <w:color w:val="auto"/>
              </w:rPr>
            </w:pPr>
          </w:p>
        </w:tc>
        <w:tc>
          <w:tcPr>
            <w:tcW w:w="5273" w:type="dxa"/>
            <w:tcMar>
              <w:top w:w="15" w:type="dxa"/>
              <w:left w:w="15" w:type="dxa"/>
              <w:bottom w:w="0" w:type="dxa"/>
              <w:right w:w="15" w:type="dxa"/>
            </w:tcMar>
            <w:vAlign w:val="center"/>
          </w:tcPr>
          <w:p>
            <w:pPr>
              <w:pStyle w:val="33"/>
              <w:rPr>
                <w:color w:val="auto"/>
              </w:rPr>
            </w:pPr>
            <w:r>
              <w:rPr>
                <w:color w:val="auto"/>
              </w:rPr>
              <w:t>其他污染物排放量增加10% 及以上的</w:t>
            </w:r>
          </w:p>
        </w:tc>
        <w:tc>
          <w:tcPr>
            <w:tcW w:w="1084" w:type="dxa"/>
            <w:tcMar>
              <w:top w:w="15" w:type="dxa"/>
              <w:left w:w="15" w:type="dxa"/>
              <w:bottom w:w="0" w:type="dxa"/>
              <w:right w:w="15" w:type="dxa"/>
            </w:tcMar>
            <w:vAlign w:val="center"/>
          </w:tcPr>
          <w:p>
            <w:pPr>
              <w:pStyle w:val="33"/>
              <w:rPr>
                <w:color w:val="auto"/>
              </w:rPr>
            </w:pPr>
            <w:r>
              <w:rPr>
                <w:rFonts w:hint="eastAsia"/>
                <w:color w:val="auto"/>
              </w:rPr>
              <w:t>无变化</w:t>
            </w:r>
          </w:p>
        </w:tc>
        <w:tc>
          <w:tcPr>
            <w:tcW w:w="845" w:type="dxa"/>
            <w:tcMar>
              <w:top w:w="15" w:type="dxa"/>
              <w:left w:w="15" w:type="dxa"/>
              <w:bottom w:w="0" w:type="dxa"/>
              <w:right w:w="15" w:type="dxa"/>
            </w:tcMar>
            <w:vAlign w:val="center"/>
          </w:tcPr>
          <w:p>
            <w:pPr>
              <w:pStyle w:val="33"/>
              <w:rPr>
                <w:color w:val="auto"/>
              </w:rPr>
            </w:pPr>
            <w:r>
              <w:rPr>
                <w:rFonts w:hint="eastAsia"/>
                <w:color w:val="auto"/>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40" w:hRule="atLeast"/>
        </w:trPr>
        <w:tc>
          <w:tcPr>
            <w:tcW w:w="565" w:type="dxa"/>
            <w:tcMar>
              <w:top w:w="15" w:type="dxa"/>
              <w:left w:w="15" w:type="dxa"/>
              <w:bottom w:w="0" w:type="dxa"/>
              <w:right w:w="15" w:type="dxa"/>
            </w:tcMar>
            <w:vAlign w:val="center"/>
          </w:tcPr>
          <w:p>
            <w:pPr>
              <w:pStyle w:val="33"/>
              <w:rPr>
                <w:color w:val="auto"/>
              </w:rPr>
            </w:pPr>
            <w:r>
              <w:rPr>
                <w:color w:val="auto"/>
              </w:rPr>
              <w:t>10</w:t>
            </w:r>
          </w:p>
        </w:tc>
        <w:tc>
          <w:tcPr>
            <w:tcW w:w="569" w:type="dxa"/>
            <w:vMerge w:val="continue"/>
            <w:tcMar>
              <w:top w:w="15" w:type="dxa"/>
              <w:left w:w="15" w:type="dxa"/>
              <w:bottom w:w="0" w:type="dxa"/>
              <w:right w:w="15" w:type="dxa"/>
            </w:tcMar>
            <w:vAlign w:val="center"/>
          </w:tcPr>
          <w:p>
            <w:pPr>
              <w:pStyle w:val="33"/>
              <w:rPr>
                <w:color w:val="auto"/>
              </w:rPr>
            </w:pPr>
          </w:p>
        </w:tc>
        <w:tc>
          <w:tcPr>
            <w:tcW w:w="5273" w:type="dxa"/>
            <w:tcMar>
              <w:top w:w="15" w:type="dxa"/>
              <w:left w:w="15" w:type="dxa"/>
              <w:bottom w:w="0" w:type="dxa"/>
              <w:right w:w="15" w:type="dxa"/>
            </w:tcMar>
            <w:vAlign w:val="center"/>
          </w:tcPr>
          <w:p>
            <w:pPr>
              <w:pStyle w:val="33"/>
              <w:rPr>
                <w:color w:val="auto"/>
              </w:rPr>
            </w:pPr>
            <w:r>
              <w:rPr>
                <w:rFonts w:hint="eastAsia"/>
                <w:color w:val="auto"/>
              </w:rPr>
              <w:t>物料运输、装卸、贮存方式变化，导致大气污染物无组织排放量增加</w:t>
            </w:r>
            <w:r>
              <w:rPr>
                <w:color w:val="auto"/>
              </w:rPr>
              <w:t>10%及以上的</w:t>
            </w:r>
          </w:p>
        </w:tc>
        <w:tc>
          <w:tcPr>
            <w:tcW w:w="1084" w:type="dxa"/>
            <w:tcMar>
              <w:top w:w="15" w:type="dxa"/>
              <w:left w:w="15" w:type="dxa"/>
              <w:bottom w:w="0" w:type="dxa"/>
              <w:right w:w="15" w:type="dxa"/>
            </w:tcMar>
            <w:vAlign w:val="center"/>
          </w:tcPr>
          <w:p>
            <w:pPr>
              <w:pStyle w:val="33"/>
              <w:rPr>
                <w:color w:val="auto"/>
              </w:rPr>
            </w:pPr>
            <w:r>
              <w:rPr>
                <w:rFonts w:hint="eastAsia"/>
                <w:color w:val="auto"/>
              </w:rPr>
              <w:t>无变化</w:t>
            </w:r>
          </w:p>
        </w:tc>
        <w:tc>
          <w:tcPr>
            <w:tcW w:w="845" w:type="dxa"/>
            <w:tcMar>
              <w:top w:w="15" w:type="dxa"/>
              <w:left w:w="15" w:type="dxa"/>
              <w:bottom w:w="0" w:type="dxa"/>
              <w:right w:w="15" w:type="dxa"/>
            </w:tcMar>
            <w:vAlign w:val="center"/>
          </w:tcPr>
          <w:p>
            <w:pPr>
              <w:pStyle w:val="33"/>
              <w:rPr>
                <w:color w:val="auto"/>
              </w:rPr>
            </w:pPr>
            <w:r>
              <w:rPr>
                <w:rFonts w:hint="eastAsia"/>
                <w:color w:val="auto"/>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40" w:hRule="atLeast"/>
        </w:trPr>
        <w:tc>
          <w:tcPr>
            <w:tcW w:w="565" w:type="dxa"/>
            <w:tcMar>
              <w:top w:w="15" w:type="dxa"/>
              <w:left w:w="15" w:type="dxa"/>
              <w:bottom w:w="0" w:type="dxa"/>
              <w:right w:w="15" w:type="dxa"/>
            </w:tcMar>
            <w:vAlign w:val="center"/>
          </w:tcPr>
          <w:p>
            <w:pPr>
              <w:pStyle w:val="33"/>
              <w:rPr>
                <w:color w:val="auto"/>
              </w:rPr>
            </w:pPr>
            <w:r>
              <w:rPr>
                <w:rFonts w:hint="eastAsia"/>
                <w:color w:val="auto"/>
              </w:rPr>
              <w:t>1</w:t>
            </w:r>
            <w:r>
              <w:rPr>
                <w:color w:val="auto"/>
              </w:rPr>
              <w:t>1</w:t>
            </w:r>
          </w:p>
        </w:tc>
        <w:tc>
          <w:tcPr>
            <w:tcW w:w="569" w:type="dxa"/>
            <w:vMerge w:val="restart"/>
            <w:tcMar>
              <w:top w:w="15" w:type="dxa"/>
              <w:left w:w="15" w:type="dxa"/>
              <w:bottom w:w="0" w:type="dxa"/>
              <w:right w:w="15" w:type="dxa"/>
            </w:tcMar>
            <w:vAlign w:val="center"/>
          </w:tcPr>
          <w:p>
            <w:pPr>
              <w:pStyle w:val="33"/>
              <w:rPr>
                <w:color w:val="auto"/>
              </w:rPr>
            </w:pPr>
            <w:r>
              <w:rPr>
                <w:rFonts w:hint="eastAsia"/>
                <w:color w:val="auto"/>
              </w:rPr>
              <w:t>环境保护措施</w:t>
            </w:r>
          </w:p>
        </w:tc>
        <w:tc>
          <w:tcPr>
            <w:tcW w:w="5273" w:type="dxa"/>
            <w:tcMar>
              <w:top w:w="15" w:type="dxa"/>
              <w:left w:w="15" w:type="dxa"/>
              <w:bottom w:w="0" w:type="dxa"/>
              <w:right w:w="15" w:type="dxa"/>
            </w:tcMar>
            <w:vAlign w:val="center"/>
          </w:tcPr>
          <w:p>
            <w:pPr>
              <w:pStyle w:val="33"/>
              <w:rPr>
                <w:color w:val="auto"/>
              </w:rPr>
            </w:pPr>
            <w:r>
              <w:rPr>
                <w:rFonts w:hint="eastAsia"/>
                <w:color w:val="auto"/>
              </w:rPr>
              <w:t>废气、废水污染防治措施变化，导致第6条中所列情形之一（废气无组织排放改为有组织排放、污染防治措施强化或改进的除外）或大气污染物无组织排放量增加10%及以上的</w:t>
            </w:r>
          </w:p>
        </w:tc>
        <w:tc>
          <w:tcPr>
            <w:tcW w:w="1084" w:type="dxa"/>
            <w:tcMar>
              <w:top w:w="15" w:type="dxa"/>
              <w:left w:w="15" w:type="dxa"/>
              <w:bottom w:w="0" w:type="dxa"/>
              <w:right w:w="15" w:type="dxa"/>
            </w:tcMar>
            <w:vAlign w:val="center"/>
          </w:tcPr>
          <w:p>
            <w:pPr>
              <w:pStyle w:val="33"/>
              <w:rPr>
                <w:color w:val="auto"/>
              </w:rPr>
            </w:pPr>
            <w:r>
              <w:rPr>
                <w:rFonts w:hint="eastAsia"/>
                <w:color w:val="auto"/>
              </w:rPr>
              <w:t>无变化</w:t>
            </w:r>
          </w:p>
        </w:tc>
        <w:tc>
          <w:tcPr>
            <w:tcW w:w="845" w:type="dxa"/>
            <w:tcMar>
              <w:top w:w="15" w:type="dxa"/>
              <w:left w:w="15" w:type="dxa"/>
              <w:bottom w:w="0" w:type="dxa"/>
              <w:right w:w="15" w:type="dxa"/>
            </w:tcMar>
            <w:vAlign w:val="center"/>
          </w:tcPr>
          <w:p>
            <w:pPr>
              <w:pStyle w:val="33"/>
              <w:rPr>
                <w:color w:val="auto"/>
              </w:rPr>
            </w:pPr>
            <w:r>
              <w:rPr>
                <w:rFonts w:hint="eastAsia"/>
                <w:color w:val="auto"/>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40" w:hRule="atLeast"/>
        </w:trPr>
        <w:tc>
          <w:tcPr>
            <w:tcW w:w="565" w:type="dxa"/>
            <w:tcMar>
              <w:top w:w="15" w:type="dxa"/>
              <w:left w:w="15" w:type="dxa"/>
              <w:bottom w:w="0" w:type="dxa"/>
              <w:right w:w="15" w:type="dxa"/>
            </w:tcMar>
            <w:vAlign w:val="center"/>
          </w:tcPr>
          <w:p>
            <w:pPr>
              <w:pStyle w:val="33"/>
              <w:rPr>
                <w:color w:val="auto"/>
              </w:rPr>
            </w:pPr>
            <w:r>
              <w:rPr>
                <w:rFonts w:hint="eastAsia"/>
                <w:color w:val="auto"/>
              </w:rPr>
              <w:t>1</w:t>
            </w:r>
            <w:r>
              <w:rPr>
                <w:color w:val="auto"/>
              </w:rPr>
              <w:t>2</w:t>
            </w:r>
          </w:p>
        </w:tc>
        <w:tc>
          <w:tcPr>
            <w:tcW w:w="569" w:type="dxa"/>
            <w:vMerge w:val="continue"/>
            <w:tcMar>
              <w:top w:w="15" w:type="dxa"/>
              <w:left w:w="15" w:type="dxa"/>
              <w:bottom w:w="0" w:type="dxa"/>
              <w:right w:w="15" w:type="dxa"/>
            </w:tcMar>
            <w:vAlign w:val="center"/>
          </w:tcPr>
          <w:p>
            <w:pPr>
              <w:pStyle w:val="33"/>
              <w:rPr>
                <w:color w:val="auto"/>
              </w:rPr>
            </w:pPr>
          </w:p>
        </w:tc>
        <w:tc>
          <w:tcPr>
            <w:tcW w:w="5273" w:type="dxa"/>
            <w:tcMar>
              <w:top w:w="15" w:type="dxa"/>
              <w:left w:w="15" w:type="dxa"/>
              <w:bottom w:w="0" w:type="dxa"/>
              <w:right w:w="15" w:type="dxa"/>
            </w:tcMar>
            <w:vAlign w:val="center"/>
          </w:tcPr>
          <w:p>
            <w:pPr>
              <w:pStyle w:val="33"/>
              <w:rPr>
                <w:color w:val="auto"/>
              </w:rPr>
            </w:pPr>
            <w:r>
              <w:rPr>
                <w:color w:val="auto"/>
              </w:rPr>
              <w:t>新增废水直接排放口；废水由间接排放改为直接排放；废</w:t>
            </w:r>
            <w:r>
              <w:rPr>
                <w:rFonts w:hint="eastAsia"/>
                <w:color w:val="auto"/>
              </w:rPr>
              <w:t>水直接排放口位置变化，导致不利环境影响加重的。</w:t>
            </w:r>
          </w:p>
        </w:tc>
        <w:tc>
          <w:tcPr>
            <w:tcW w:w="1084" w:type="dxa"/>
            <w:tcMar>
              <w:top w:w="15" w:type="dxa"/>
              <w:left w:w="15" w:type="dxa"/>
              <w:bottom w:w="0" w:type="dxa"/>
              <w:right w:w="15" w:type="dxa"/>
            </w:tcMar>
            <w:vAlign w:val="center"/>
          </w:tcPr>
          <w:p>
            <w:pPr>
              <w:pStyle w:val="33"/>
              <w:rPr>
                <w:color w:val="auto"/>
              </w:rPr>
            </w:pPr>
            <w:r>
              <w:rPr>
                <w:rFonts w:hint="eastAsia"/>
                <w:color w:val="auto"/>
              </w:rPr>
              <w:t>无变化</w:t>
            </w:r>
          </w:p>
        </w:tc>
        <w:tc>
          <w:tcPr>
            <w:tcW w:w="845" w:type="dxa"/>
            <w:tcMar>
              <w:top w:w="15" w:type="dxa"/>
              <w:left w:w="15" w:type="dxa"/>
              <w:bottom w:w="0" w:type="dxa"/>
              <w:right w:w="15" w:type="dxa"/>
            </w:tcMar>
            <w:vAlign w:val="center"/>
          </w:tcPr>
          <w:p>
            <w:pPr>
              <w:pStyle w:val="33"/>
              <w:rPr>
                <w:color w:val="auto"/>
              </w:rPr>
            </w:pPr>
            <w:r>
              <w:rPr>
                <w:rFonts w:hint="eastAsia"/>
                <w:color w:val="auto"/>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40" w:hRule="atLeast"/>
        </w:trPr>
        <w:tc>
          <w:tcPr>
            <w:tcW w:w="565" w:type="dxa"/>
            <w:tcMar>
              <w:top w:w="15" w:type="dxa"/>
              <w:left w:w="15" w:type="dxa"/>
              <w:bottom w:w="0" w:type="dxa"/>
              <w:right w:w="15" w:type="dxa"/>
            </w:tcMar>
            <w:vAlign w:val="center"/>
          </w:tcPr>
          <w:p>
            <w:pPr>
              <w:pStyle w:val="33"/>
              <w:rPr>
                <w:color w:val="auto"/>
              </w:rPr>
            </w:pPr>
            <w:r>
              <w:rPr>
                <w:color w:val="auto"/>
              </w:rPr>
              <w:t>13</w:t>
            </w:r>
          </w:p>
        </w:tc>
        <w:tc>
          <w:tcPr>
            <w:tcW w:w="569" w:type="dxa"/>
            <w:vMerge w:val="continue"/>
            <w:tcMar>
              <w:top w:w="15" w:type="dxa"/>
              <w:left w:w="15" w:type="dxa"/>
              <w:bottom w:w="0" w:type="dxa"/>
              <w:right w:w="15" w:type="dxa"/>
            </w:tcMar>
            <w:vAlign w:val="center"/>
          </w:tcPr>
          <w:p>
            <w:pPr>
              <w:pStyle w:val="33"/>
              <w:rPr>
                <w:color w:val="auto"/>
              </w:rPr>
            </w:pPr>
          </w:p>
        </w:tc>
        <w:tc>
          <w:tcPr>
            <w:tcW w:w="5273" w:type="dxa"/>
            <w:tcMar>
              <w:top w:w="15" w:type="dxa"/>
              <w:left w:w="15" w:type="dxa"/>
              <w:bottom w:w="0" w:type="dxa"/>
              <w:right w:w="15" w:type="dxa"/>
            </w:tcMar>
            <w:vAlign w:val="center"/>
          </w:tcPr>
          <w:p>
            <w:pPr>
              <w:pStyle w:val="33"/>
              <w:rPr>
                <w:color w:val="auto"/>
              </w:rPr>
            </w:pPr>
            <w:r>
              <w:rPr>
                <w:color w:val="auto"/>
              </w:rPr>
              <w:t>新增废气主要排放口（废气无组织排放改为有组织排放</w:t>
            </w:r>
            <w:r>
              <w:rPr>
                <w:rFonts w:hint="eastAsia"/>
                <w:color w:val="auto"/>
              </w:rPr>
              <w:t>的除外）；主要排放口排气筒高度降低</w:t>
            </w:r>
            <w:r>
              <w:rPr>
                <w:color w:val="auto"/>
              </w:rPr>
              <w:t>10%及以上的</w:t>
            </w:r>
          </w:p>
        </w:tc>
        <w:tc>
          <w:tcPr>
            <w:tcW w:w="1084" w:type="dxa"/>
            <w:tcMar>
              <w:top w:w="15" w:type="dxa"/>
              <w:left w:w="15" w:type="dxa"/>
              <w:bottom w:w="0" w:type="dxa"/>
              <w:right w:w="15" w:type="dxa"/>
            </w:tcMar>
            <w:vAlign w:val="center"/>
          </w:tcPr>
          <w:p>
            <w:pPr>
              <w:pStyle w:val="33"/>
              <w:rPr>
                <w:color w:val="auto"/>
              </w:rPr>
            </w:pPr>
            <w:r>
              <w:rPr>
                <w:rFonts w:hint="eastAsia"/>
                <w:color w:val="auto"/>
                <w:szCs w:val="21"/>
              </w:rPr>
              <w:t>无变化</w:t>
            </w:r>
          </w:p>
        </w:tc>
        <w:tc>
          <w:tcPr>
            <w:tcW w:w="845" w:type="dxa"/>
            <w:tcMar>
              <w:top w:w="15" w:type="dxa"/>
              <w:left w:w="15" w:type="dxa"/>
              <w:bottom w:w="0" w:type="dxa"/>
              <w:right w:w="15" w:type="dxa"/>
            </w:tcMar>
            <w:vAlign w:val="center"/>
          </w:tcPr>
          <w:p>
            <w:pPr>
              <w:pStyle w:val="33"/>
              <w:rPr>
                <w:color w:val="auto"/>
              </w:rPr>
            </w:pPr>
            <w:r>
              <w:rPr>
                <w:rFonts w:hint="eastAsia"/>
                <w:color w:val="auto"/>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40" w:hRule="atLeast"/>
        </w:trPr>
        <w:tc>
          <w:tcPr>
            <w:tcW w:w="565" w:type="dxa"/>
            <w:tcMar>
              <w:top w:w="15" w:type="dxa"/>
              <w:left w:w="15" w:type="dxa"/>
              <w:bottom w:w="0" w:type="dxa"/>
              <w:right w:w="15" w:type="dxa"/>
            </w:tcMar>
            <w:vAlign w:val="center"/>
          </w:tcPr>
          <w:p>
            <w:pPr>
              <w:pStyle w:val="33"/>
              <w:rPr>
                <w:color w:val="auto"/>
              </w:rPr>
            </w:pPr>
            <w:r>
              <w:rPr>
                <w:rFonts w:hint="eastAsia"/>
                <w:color w:val="auto"/>
              </w:rPr>
              <w:t>1</w:t>
            </w:r>
            <w:r>
              <w:rPr>
                <w:color w:val="auto"/>
              </w:rPr>
              <w:t>4</w:t>
            </w:r>
          </w:p>
        </w:tc>
        <w:tc>
          <w:tcPr>
            <w:tcW w:w="569" w:type="dxa"/>
            <w:vMerge w:val="continue"/>
            <w:tcMar>
              <w:top w:w="15" w:type="dxa"/>
              <w:left w:w="15" w:type="dxa"/>
              <w:bottom w:w="0" w:type="dxa"/>
              <w:right w:w="15" w:type="dxa"/>
            </w:tcMar>
            <w:vAlign w:val="center"/>
          </w:tcPr>
          <w:p>
            <w:pPr>
              <w:pStyle w:val="33"/>
              <w:rPr>
                <w:color w:val="auto"/>
              </w:rPr>
            </w:pPr>
          </w:p>
        </w:tc>
        <w:tc>
          <w:tcPr>
            <w:tcW w:w="5273" w:type="dxa"/>
            <w:tcMar>
              <w:top w:w="15" w:type="dxa"/>
              <w:left w:w="15" w:type="dxa"/>
              <w:bottom w:w="0" w:type="dxa"/>
              <w:right w:w="15" w:type="dxa"/>
            </w:tcMar>
            <w:vAlign w:val="center"/>
          </w:tcPr>
          <w:p>
            <w:pPr>
              <w:pStyle w:val="33"/>
              <w:rPr>
                <w:color w:val="auto"/>
              </w:rPr>
            </w:pPr>
            <w:r>
              <w:rPr>
                <w:color w:val="auto"/>
              </w:rPr>
              <w:t>噪声、土壤或地下水污染防治措施变化，导致不利环境</w:t>
            </w:r>
            <w:r>
              <w:rPr>
                <w:rFonts w:hint="eastAsia"/>
                <w:color w:val="auto"/>
              </w:rPr>
              <w:t>影响加重的</w:t>
            </w:r>
          </w:p>
        </w:tc>
        <w:tc>
          <w:tcPr>
            <w:tcW w:w="1084" w:type="dxa"/>
            <w:tcMar>
              <w:top w:w="15" w:type="dxa"/>
              <w:left w:w="15" w:type="dxa"/>
              <w:bottom w:w="0" w:type="dxa"/>
              <w:right w:w="15" w:type="dxa"/>
            </w:tcMar>
            <w:vAlign w:val="center"/>
          </w:tcPr>
          <w:p>
            <w:pPr>
              <w:pStyle w:val="33"/>
              <w:rPr>
                <w:color w:val="auto"/>
              </w:rPr>
            </w:pPr>
            <w:r>
              <w:rPr>
                <w:rFonts w:hint="eastAsia"/>
                <w:color w:val="auto"/>
              </w:rPr>
              <w:t>无变化</w:t>
            </w:r>
          </w:p>
        </w:tc>
        <w:tc>
          <w:tcPr>
            <w:tcW w:w="845" w:type="dxa"/>
            <w:tcMar>
              <w:top w:w="15" w:type="dxa"/>
              <w:left w:w="15" w:type="dxa"/>
              <w:bottom w:w="0" w:type="dxa"/>
              <w:right w:w="15" w:type="dxa"/>
            </w:tcMar>
            <w:vAlign w:val="center"/>
          </w:tcPr>
          <w:p>
            <w:pPr>
              <w:pStyle w:val="33"/>
              <w:rPr>
                <w:color w:val="auto"/>
              </w:rPr>
            </w:pPr>
            <w:r>
              <w:rPr>
                <w:rFonts w:hint="eastAsia"/>
                <w:color w:val="auto"/>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40" w:hRule="atLeast"/>
        </w:trPr>
        <w:tc>
          <w:tcPr>
            <w:tcW w:w="565" w:type="dxa"/>
            <w:tcMar>
              <w:top w:w="15" w:type="dxa"/>
              <w:left w:w="15" w:type="dxa"/>
              <w:bottom w:w="0" w:type="dxa"/>
              <w:right w:w="15" w:type="dxa"/>
            </w:tcMar>
            <w:vAlign w:val="center"/>
          </w:tcPr>
          <w:p>
            <w:pPr>
              <w:pStyle w:val="33"/>
              <w:rPr>
                <w:color w:val="auto"/>
              </w:rPr>
            </w:pPr>
            <w:r>
              <w:rPr>
                <w:rFonts w:hint="eastAsia"/>
                <w:color w:val="auto"/>
              </w:rPr>
              <w:t>1</w:t>
            </w:r>
            <w:r>
              <w:rPr>
                <w:color w:val="auto"/>
              </w:rPr>
              <w:t>5</w:t>
            </w:r>
          </w:p>
        </w:tc>
        <w:tc>
          <w:tcPr>
            <w:tcW w:w="569" w:type="dxa"/>
            <w:vMerge w:val="continue"/>
            <w:tcMar>
              <w:top w:w="15" w:type="dxa"/>
              <w:left w:w="15" w:type="dxa"/>
              <w:bottom w:w="0" w:type="dxa"/>
              <w:right w:w="15" w:type="dxa"/>
            </w:tcMar>
            <w:vAlign w:val="center"/>
          </w:tcPr>
          <w:p>
            <w:pPr>
              <w:pStyle w:val="33"/>
              <w:rPr>
                <w:color w:val="auto"/>
              </w:rPr>
            </w:pPr>
          </w:p>
        </w:tc>
        <w:tc>
          <w:tcPr>
            <w:tcW w:w="5273" w:type="dxa"/>
            <w:tcMar>
              <w:top w:w="15" w:type="dxa"/>
              <w:left w:w="15" w:type="dxa"/>
              <w:bottom w:w="0" w:type="dxa"/>
              <w:right w:w="15" w:type="dxa"/>
            </w:tcMar>
            <w:vAlign w:val="center"/>
          </w:tcPr>
          <w:p>
            <w:pPr>
              <w:pStyle w:val="33"/>
              <w:rPr>
                <w:color w:val="auto"/>
              </w:rPr>
            </w:pPr>
            <w:r>
              <w:rPr>
                <w:rFonts w:hint="eastAsia"/>
                <w:color w:val="auto"/>
              </w:rPr>
              <w:t>固体废物利用处置方式由委托外单位利用处置改为自行利用处置的（自行利用处置设施单独开展环境影响评价的除外）；固体废物自行处置方式变化，导致不利环境影响加重的</w:t>
            </w:r>
          </w:p>
        </w:tc>
        <w:tc>
          <w:tcPr>
            <w:tcW w:w="1084" w:type="dxa"/>
            <w:tcMar>
              <w:top w:w="15" w:type="dxa"/>
              <w:left w:w="15" w:type="dxa"/>
              <w:bottom w:w="0" w:type="dxa"/>
              <w:right w:w="15" w:type="dxa"/>
            </w:tcMar>
            <w:vAlign w:val="center"/>
          </w:tcPr>
          <w:p>
            <w:pPr>
              <w:pStyle w:val="33"/>
              <w:rPr>
                <w:color w:val="auto"/>
              </w:rPr>
            </w:pPr>
            <w:r>
              <w:rPr>
                <w:rFonts w:hint="eastAsia"/>
                <w:color w:val="auto"/>
              </w:rPr>
              <w:t>无变化</w:t>
            </w:r>
          </w:p>
        </w:tc>
        <w:tc>
          <w:tcPr>
            <w:tcW w:w="845" w:type="dxa"/>
            <w:tcMar>
              <w:top w:w="15" w:type="dxa"/>
              <w:left w:w="15" w:type="dxa"/>
              <w:bottom w:w="0" w:type="dxa"/>
              <w:right w:w="15" w:type="dxa"/>
            </w:tcMar>
            <w:vAlign w:val="center"/>
          </w:tcPr>
          <w:p>
            <w:pPr>
              <w:pStyle w:val="33"/>
              <w:rPr>
                <w:color w:val="auto"/>
              </w:rPr>
            </w:pPr>
            <w:r>
              <w:rPr>
                <w:rFonts w:hint="eastAsia"/>
                <w:color w:val="auto"/>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678" w:hRule="atLeast"/>
        </w:trPr>
        <w:tc>
          <w:tcPr>
            <w:tcW w:w="565" w:type="dxa"/>
            <w:tcMar>
              <w:top w:w="15" w:type="dxa"/>
              <w:left w:w="15" w:type="dxa"/>
              <w:bottom w:w="0" w:type="dxa"/>
              <w:right w:w="15" w:type="dxa"/>
            </w:tcMar>
            <w:vAlign w:val="center"/>
          </w:tcPr>
          <w:p>
            <w:pPr>
              <w:pStyle w:val="33"/>
              <w:rPr>
                <w:color w:val="auto"/>
              </w:rPr>
            </w:pPr>
            <w:r>
              <w:rPr>
                <w:rFonts w:hint="eastAsia"/>
                <w:color w:val="auto"/>
              </w:rPr>
              <w:t>1</w:t>
            </w:r>
            <w:r>
              <w:rPr>
                <w:color w:val="auto"/>
              </w:rPr>
              <w:t>6</w:t>
            </w:r>
          </w:p>
        </w:tc>
        <w:tc>
          <w:tcPr>
            <w:tcW w:w="569" w:type="dxa"/>
            <w:vMerge w:val="continue"/>
            <w:tcMar>
              <w:top w:w="15" w:type="dxa"/>
              <w:left w:w="15" w:type="dxa"/>
              <w:bottom w:w="0" w:type="dxa"/>
              <w:right w:w="15" w:type="dxa"/>
            </w:tcMar>
            <w:vAlign w:val="center"/>
          </w:tcPr>
          <w:p>
            <w:pPr>
              <w:pStyle w:val="33"/>
              <w:rPr>
                <w:color w:val="auto"/>
              </w:rPr>
            </w:pPr>
          </w:p>
        </w:tc>
        <w:tc>
          <w:tcPr>
            <w:tcW w:w="5273" w:type="dxa"/>
            <w:tcMar>
              <w:top w:w="15" w:type="dxa"/>
              <w:left w:w="15" w:type="dxa"/>
              <w:bottom w:w="0" w:type="dxa"/>
              <w:right w:w="15" w:type="dxa"/>
            </w:tcMar>
            <w:vAlign w:val="center"/>
          </w:tcPr>
          <w:p>
            <w:pPr>
              <w:pStyle w:val="33"/>
              <w:rPr>
                <w:color w:val="auto"/>
              </w:rPr>
            </w:pPr>
            <w:r>
              <w:rPr>
                <w:rFonts w:hint="eastAsia"/>
                <w:color w:val="auto"/>
              </w:rPr>
              <w:t>事故废水暂存能力或拦截设施变化，导致环境风险防范能力弱化或降低的</w:t>
            </w:r>
          </w:p>
        </w:tc>
        <w:tc>
          <w:tcPr>
            <w:tcW w:w="1084" w:type="dxa"/>
            <w:tcMar>
              <w:top w:w="15" w:type="dxa"/>
              <w:left w:w="15" w:type="dxa"/>
              <w:bottom w:w="0" w:type="dxa"/>
              <w:right w:w="15" w:type="dxa"/>
            </w:tcMar>
            <w:vAlign w:val="center"/>
          </w:tcPr>
          <w:p>
            <w:pPr>
              <w:pStyle w:val="33"/>
              <w:rPr>
                <w:color w:val="auto"/>
              </w:rPr>
            </w:pPr>
            <w:r>
              <w:rPr>
                <w:rFonts w:hint="eastAsia"/>
                <w:color w:val="auto"/>
              </w:rPr>
              <w:t>无变化</w:t>
            </w:r>
          </w:p>
        </w:tc>
        <w:tc>
          <w:tcPr>
            <w:tcW w:w="845" w:type="dxa"/>
            <w:tcMar>
              <w:top w:w="15" w:type="dxa"/>
              <w:left w:w="15" w:type="dxa"/>
              <w:bottom w:w="0" w:type="dxa"/>
              <w:right w:w="15" w:type="dxa"/>
            </w:tcMar>
            <w:vAlign w:val="center"/>
          </w:tcPr>
          <w:p>
            <w:pPr>
              <w:pStyle w:val="33"/>
              <w:rPr>
                <w:color w:val="auto"/>
              </w:rPr>
            </w:pPr>
            <w:r>
              <w:rPr>
                <w:rFonts w:hint="eastAsia"/>
                <w:color w:val="auto"/>
              </w:rPr>
              <w:t>否</w:t>
            </w:r>
          </w:p>
        </w:tc>
      </w:tr>
    </w:tbl>
    <w:p>
      <w:pPr>
        <w:ind w:firstLine="480"/>
        <w:rPr>
          <w:color w:val="auto"/>
        </w:rPr>
      </w:pPr>
      <w:r>
        <w:rPr>
          <w:rFonts w:hint="eastAsia"/>
          <w:color w:val="auto"/>
        </w:rPr>
        <w:t>根据上表，项目建设性质、规模、地点、生产工艺、环境保护措施与项目环境影响报告表及其批复一致，没有重大变动。</w:t>
      </w:r>
    </w:p>
    <w:p>
      <w:pPr>
        <w:widowControl/>
        <w:spacing w:line="240" w:lineRule="auto"/>
        <w:ind w:firstLine="0" w:firstLineChars="0"/>
        <w:jc w:val="left"/>
        <w:rPr>
          <w:color w:val="auto"/>
        </w:rPr>
      </w:pPr>
      <w:r>
        <w:rPr>
          <w:color w:val="auto"/>
        </w:rPr>
        <w:br w:type="page"/>
      </w:r>
    </w:p>
    <w:p>
      <w:pPr>
        <w:pStyle w:val="2"/>
        <w:rPr>
          <w:color w:val="auto"/>
        </w:rPr>
      </w:pPr>
      <w:bookmarkStart w:id="32" w:name="_Toc19520"/>
      <w:r>
        <w:rPr>
          <w:rFonts w:hint="eastAsia"/>
          <w:color w:val="auto"/>
        </w:rPr>
        <w:t>环境保护设施</w:t>
      </w:r>
      <w:bookmarkEnd w:id="32"/>
    </w:p>
    <w:p>
      <w:pPr>
        <w:pStyle w:val="3"/>
        <w:rPr>
          <w:color w:val="auto"/>
        </w:rPr>
      </w:pPr>
      <w:bookmarkStart w:id="33" w:name="_Toc31719"/>
      <w:r>
        <w:rPr>
          <w:rFonts w:hint="eastAsia"/>
          <w:color w:val="auto"/>
        </w:rPr>
        <w:t>污染物治理</w:t>
      </w:r>
      <w:r>
        <w:rPr>
          <w:color w:val="auto"/>
        </w:rPr>
        <w:t>/</w:t>
      </w:r>
      <w:r>
        <w:rPr>
          <w:rFonts w:hint="eastAsia"/>
          <w:color w:val="auto"/>
        </w:rPr>
        <w:t>处置设施</w:t>
      </w:r>
      <w:bookmarkEnd w:id="33"/>
    </w:p>
    <w:p>
      <w:pPr>
        <w:pStyle w:val="4"/>
        <w:spacing w:before="0" w:after="0"/>
        <w:rPr>
          <w:color w:val="auto"/>
        </w:rPr>
      </w:pPr>
      <w:bookmarkStart w:id="34" w:name="_Toc156491642"/>
      <w:bookmarkStart w:id="35" w:name="_Toc31869"/>
      <w:bookmarkStart w:id="36" w:name="_Toc164292269"/>
      <w:r>
        <w:rPr>
          <w:color w:val="auto"/>
        </w:rPr>
        <w:t>废水</w:t>
      </w:r>
      <w:bookmarkEnd w:id="34"/>
      <w:bookmarkEnd w:id="35"/>
      <w:bookmarkEnd w:id="36"/>
    </w:p>
    <w:p>
      <w:pPr>
        <w:autoSpaceDE w:val="0"/>
        <w:autoSpaceDN w:val="0"/>
        <w:adjustRightInd w:val="0"/>
        <w:ind w:firstLine="480"/>
        <w:textAlignment w:val="baseline"/>
        <w:rPr>
          <w:color w:val="auto"/>
        </w:rPr>
      </w:pPr>
      <w:bookmarkStart w:id="37" w:name="_Hlk104195476"/>
      <w:r>
        <w:rPr>
          <w:rFonts w:hint="eastAsia"/>
          <w:color w:val="auto"/>
        </w:rPr>
        <w:t>本项目产生废水主要为生活污水、水帘柜更换废水、喷淋塔更换废水，根据建设单位提供资料，本项目</w:t>
      </w:r>
      <w:r>
        <w:rPr>
          <w:rFonts w:hint="eastAsia"/>
          <w:bCs/>
          <w:color w:val="auto"/>
        </w:rPr>
        <w:t>废水实际产排情况具体见下表4.1-1。</w:t>
      </w:r>
    </w:p>
    <w:p>
      <w:pPr>
        <w:pStyle w:val="12"/>
        <w:ind w:firstLine="382"/>
        <w:jc w:val="center"/>
        <w:rPr>
          <w:b/>
          <w:color w:val="auto"/>
          <w:spacing w:val="-10"/>
          <w:sz w:val="21"/>
          <w:szCs w:val="21"/>
        </w:rPr>
      </w:pPr>
      <w:r>
        <w:rPr>
          <w:rFonts w:hint="eastAsia"/>
          <w:b/>
          <w:color w:val="auto"/>
          <w:spacing w:val="-10"/>
          <w:sz w:val="21"/>
          <w:szCs w:val="21"/>
        </w:rPr>
        <w:t>表 4.1-1  废水产排情况一览表</w:t>
      </w:r>
    </w:p>
    <w:tbl>
      <w:tblPr>
        <w:tblStyle w:val="24"/>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4"/>
        <w:gridCol w:w="1766"/>
        <w:gridCol w:w="1309"/>
        <w:gridCol w:w="47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04"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ascii="宋体" w:hAnsi="宋体" w:cs="Times New Roman"/>
                <w:color w:val="auto"/>
                <w:sz w:val="21"/>
                <w:szCs w:val="21"/>
              </w:rPr>
              <w:t>序号</w:t>
            </w:r>
          </w:p>
        </w:tc>
        <w:tc>
          <w:tcPr>
            <w:tcW w:w="1766"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ascii="宋体" w:hAnsi="宋体" w:cs="Times New Roman"/>
                <w:color w:val="auto"/>
                <w:sz w:val="21"/>
                <w:szCs w:val="21"/>
              </w:rPr>
              <w:t>废水名称</w:t>
            </w:r>
          </w:p>
        </w:tc>
        <w:tc>
          <w:tcPr>
            <w:tcW w:w="1309"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ascii="宋体" w:hAnsi="宋体" w:cs="Times New Roman"/>
                <w:color w:val="auto"/>
                <w:sz w:val="21"/>
                <w:szCs w:val="21"/>
              </w:rPr>
              <w:t>产生量</w:t>
            </w:r>
            <w:r>
              <w:rPr>
                <w:rFonts w:cs="Times New Roman"/>
                <w:color w:val="auto"/>
                <w:sz w:val="21"/>
                <w:szCs w:val="21"/>
              </w:rPr>
              <w:t>(t/a)</w:t>
            </w:r>
          </w:p>
        </w:tc>
        <w:tc>
          <w:tcPr>
            <w:tcW w:w="4743"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ascii="宋体" w:hAnsi="宋体" w:cs="Times New Roman"/>
                <w:color w:val="auto"/>
                <w:sz w:val="21"/>
                <w:szCs w:val="21"/>
              </w:rPr>
              <w:t>处理方式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78" w:hRule="atLeast"/>
        </w:trPr>
        <w:tc>
          <w:tcPr>
            <w:tcW w:w="704"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1</w:t>
            </w:r>
          </w:p>
        </w:tc>
        <w:tc>
          <w:tcPr>
            <w:tcW w:w="1766"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ascii="宋体" w:hAnsi="宋体" w:cs="Times New Roman"/>
                <w:color w:val="auto"/>
                <w:sz w:val="21"/>
                <w:szCs w:val="21"/>
              </w:rPr>
              <w:t>生活污水</w:t>
            </w:r>
          </w:p>
        </w:tc>
        <w:tc>
          <w:tcPr>
            <w:tcW w:w="1309"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635</w:t>
            </w:r>
          </w:p>
        </w:tc>
        <w:tc>
          <w:tcPr>
            <w:tcW w:w="4743" w:type="dxa"/>
            <w:tcBorders>
              <w:top w:val="nil"/>
              <w:left w:val="single" w:color="auto" w:sz="4" w:space="0"/>
              <w:bottom w:val="single" w:color="auto" w:sz="4" w:space="0"/>
              <w:right w:val="single" w:color="auto" w:sz="4" w:space="0"/>
            </w:tcBorders>
          </w:tcPr>
          <w:p>
            <w:pPr>
              <w:spacing w:line="240" w:lineRule="auto"/>
              <w:ind w:firstLine="0" w:firstLineChars="0"/>
              <w:jc w:val="center"/>
              <w:rPr>
                <w:rFonts w:cs="Times New Roman"/>
                <w:color w:val="auto"/>
                <w:sz w:val="21"/>
                <w:szCs w:val="21"/>
              </w:rPr>
            </w:pPr>
            <w:r>
              <w:rPr>
                <w:rFonts w:hint="eastAsia" w:cs="Times New Roman"/>
                <w:color w:val="auto"/>
                <w:sz w:val="21"/>
                <w:szCs w:val="21"/>
              </w:rPr>
              <w:t>通过市政污水管网进入水东湾新城水质净化厂处理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04"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2</w:t>
            </w:r>
          </w:p>
        </w:tc>
        <w:tc>
          <w:tcPr>
            <w:tcW w:w="1766"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hint="eastAsia" w:ascii="宋体" w:hAnsi="宋体" w:cs="Times New Roman"/>
                <w:color w:val="auto"/>
                <w:sz w:val="21"/>
                <w:szCs w:val="21"/>
              </w:rPr>
              <w:t>水帘柜更换废水</w:t>
            </w:r>
          </w:p>
        </w:tc>
        <w:tc>
          <w:tcPr>
            <w:tcW w:w="1309"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12.32</w:t>
            </w:r>
          </w:p>
        </w:tc>
        <w:tc>
          <w:tcPr>
            <w:tcW w:w="4743" w:type="dxa"/>
            <w:vMerge w:val="restart"/>
            <w:tcBorders>
              <w:top w:val="single" w:color="auto" w:sz="4" w:space="0"/>
              <w:left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r>
              <w:rPr>
                <w:rFonts w:hint="eastAsia" w:cs="Times New Roman"/>
                <w:color w:val="auto"/>
                <w:sz w:val="21"/>
                <w:szCs w:val="21"/>
              </w:rPr>
              <w:t>近期通过槽罐车外运至茂名华清水务有限公司处理，远期待电白新材料产业园区污水处理厂建设完成后，进入园区污水处理厂处理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04"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3</w:t>
            </w:r>
          </w:p>
        </w:tc>
        <w:tc>
          <w:tcPr>
            <w:tcW w:w="1766"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hint="eastAsia" w:ascii="宋体" w:hAnsi="宋体" w:cs="Times New Roman"/>
                <w:color w:val="auto"/>
                <w:sz w:val="21"/>
                <w:szCs w:val="21"/>
              </w:rPr>
            </w:pPr>
            <w:r>
              <w:rPr>
                <w:rFonts w:hint="eastAsia" w:ascii="宋体" w:hAnsi="宋体" w:cs="Times New Roman"/>
                <w:color w:val="auto"/>
                <w:sz w:val="21"/>
                <w:szCs w:val="21"/>
              </w:rPr>
              <w:t>喷淋塔更换废水</w:t>
            </w:r>
          </w:p>
        </w:tc>
        <w:tc>
          <w:tcPr>
            <w:tcW w:w="1309"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hint="eastAsia" w:cs="Times New Roman"/>
                <w:color w:val="auto"/>
                <w:sz w:val="21"/>
                <w:szCs w:val="21"/>
              </w:rPr>
              <w:t>11.04</w:t>
            </w:r>
          </w:p>
        </w:tc>
        <w:tc>
          <w:tcPr>
            <w:tcW w:w="4743" w:type="dxa"/>
            <w:vMerge w:val="continue"/>
            <w:tcBorders>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r>
      <w:bookmarkEnd w:id="37"/>
    </w:tbl>
    <w:p>
      <w:pPr>
        <w:pStyle w:val="4"/>
        <w:rPr>
          <w:color w:val="auto"/>
        </w:rPr>
      </w:pPr>
      <w:bookmarkStart w:id="38" w:name="_Toc27080"/>
      <w:bookmarkStart w:id="39" w:name="_Toc156491643"/>
      <w:bookmarkStart w:id="40" w:name="_Toc164292270"/>
      <w:r>
        <w:rPr>
          <w:rFonts w:hint="eastAsia"/>
          <w:color w:val="auto"/>
        </w:rPr>
        <w:t>废气</w:t>
      </w:r>
      <w:bookmarkEnd w:id="38"/>
      <w:bookmarkEnd w:id="39"/>
      <w:bookmarkEnd w:id="40"/>
    </w:p>
    <w:p>
      <w:pPr>
        <w:ind w:firstLine="480"/>
        <w:rPr>
          <w:rFonts w:cs="Times New Roman"/>
          <w:color w:val="auto"/>
        </w:rPr>
      </w:pPr>
      <w:r>
        <w:rPr>
          <w:rFonts w:cs="Times New Roman"/>
          <w:color w:val="auto"/>
        </w:rPr>
        <w:t>根据《茂名市富临门科技有限公司年产3000套金属大门建设项目环境影响报告表》和《关于茂名市富临门科技有限公司年产 3000 套金属大门建设项目环境影响报告表的批复》（茂环（电白）审[2025]16号），本项目废气污染物排放情况如下：</w:t>
      </w:r>
    </w:p>
    <w:p>
      <w:pPr>
        <w:ind w:firstLine="480"/>
        <w:rPr>
          <w:rFonts w:cs="Times New Roman"/>
          <w:color w:val="auto"/>
        </w:rPr>
      </w:pPr>
      <w:r>
        <w:rPr>
          <w:rFonts w:ascii="Cambria Math" w:hAnsi="Cambria Math" w:cs="Cambria Math"/>
          <w:color w:val="auto"/>
        </w:rPr>
        <w:t>①</w:t>
      </w:r>
      <w:r>
        <w:rPr>
          <w:rFonts w:cs="Times New Roman"/>
          <w:color w:val="auto"/>
        </w:rPr>
        <w:t>开料粉尘</w:t>
      </w:r>
    </w:p>
    <w:p>
      <w:pPr>
        <w:ind w:firstLine="480"/>
        <w:rPr>
          <w:rFonts w:cs="Times New Roman"/>
          <w:color w:val="auto"/>
        </w:rPr>
      </w:pPr>
      <w:r>
        <w:rPr>
          <w:rFonts w:cs="Times New Roman"/>
          <w:color w:val="auto"/>
        </w:rPr>
        <w:t>本项目需切割开料的材料主要是通过激光切割机和剪板机进行加工的，其中采用激光切割机开料时会产生切割粉尘，主要污染物为颗粒物。开料粉尘无组织排放。</w:t>
      </w:r>
    </w:p>
    <w:p>
      <w:pPr>
        <w:ind w:firstLine="480"/>
        <w:rPr>
          <w:rFonts w:cs="Times New Roman"/>
          <w:color w:val="auto"/>
          <w:highlight w:val="yellow"/>
        </w:rPr>
      </w:pPr>
      <w:r>
        <w:rPr>
          <w:rFonts w:ascii="Cambria Math" w:hAnsi="Cambria Math" w:cs="Cambria Math"/>
          <w:color w:val="auto"/>
        </w:rPr>
        <w:t>②</w:t>
      </w:r>
      <w:r>
        <w:rPr>
          <w:rFonts w:cs="Times New Roman"/>
          <w:color w:val="auto"/>
        </w:rPr>
        <w:t>冲孔有机废气</w:t>
      </w:r>
    </w:p>
    <w:p>
      <w:pPr>
        <w:ind w:firstLine="480"/>
        <w:rPr>
          <w:rFonts w:cs="Times New Roman"/>
          <w:color w:val="auto"/>
          <w:szCs w:val="24"/>
        </w:rPr>
      </w:pPr>
      <w:r>
        <w:rPr>
          <w:rFonts w:cs="Times New Roman"/>
          <w:color w:val="auto"/>
          <w:szCs w:val="24"/>
        </w:rPr>
        <w:t>本项目冲孔工序使用线割机进行机加工，线割机使用乳化油（属于切削液的一种重要类型）进行润滑和冷却，乳化油使用过程中会产生少量有机废气（以总VOCs计），采用无组织排放形式。</w:t>
      </w:r>
    </w:p>
    <w:p>
      <w:pPr>
        <w:ind w:firstLine="480"/>
        <w:rPr>
          <w:rFonts w:cs="Times New Roman"/>
          <w:color w:val="auto"/>
          <w:highlight w:val="yellow"/>
        </w:rPr>
      </w:pPr>
      <w:r>
        <w:rPr>
          <w:rFonts w:ascii="Cambria Math" w:hAnsi="Cambria Math" w:cs="Cambria Math"/>
          <w:color w:val="auto"/>
        </w:rPr>
        <w:t>③</w:t>
      </w:r>
      <w:r>
        <w:rPr>
          <w:rFonts w:cs="Times New Roman"/>
          <w:color w:val="auto"/>
        </w:rPr>
        <w:t>焊接烟尘</w:t>
      </w:r>
    </w:p>
    <w:p>
      <w:pPr>
        <w:ind w:firstLine="480"/>
        <w:rPr>
          <w:rFonts w:cs="Times New Roman"/>
          <w:color w:val="auto"/>
          <w:szCs w:val="24"/>
        </w:rPr>
      </w:pPr>
      <w:r>
        <w:rPr>
          <w:rFonts w:cs="Times New Roman"/>
          <w:color w:val="auto"/>
          <w:szCs w:val="24"/>
        </w:rPr>
        <w:t>本项目焊框、胶合、门扇封花、焊罗马头工序中的焊接过程会产生少量焊接烟尘，本项目采用移动式集气罩收集焊接烟尘处理，以无组织形式排放。</w:t>
      </w:r>
    </w:p>
    <w:p>
      <w:pPr>
        <w:ind w:firstLine="480"/>
        <w:rPr>
          <w:rFonts w:cs="Times New Roman"/>
          <w:color w:val="auto"/>
          <w:highlight w:val="yellow"/>
        </w:rPr>
      </w:pPr>
      <w:r>
        <w:rPr>
          <w:rFonts w:ascii="Cambria Math" w:hAnsi="Cambria Math" w:cs="Cambria Math"/>
          <w:color w:val="auto"/>
        </w:rPr>
        <w:t>④</w:t>
      </w:r>
      <w:r>
        <w:rPr>
          <w:rFonts w:cs="Times New Roman"/>
          <w:color w:val="auto"/>
        </w:rPr>
        <w:t>打磨粉尘</w:t>
      </w:r>
    </w:p>
    <w:p>
      <w:pPr>
        <w:ind w:firstLine="480"/>
        <w:rPr>
          <w:rFonts w:cs="Times New Roman"/>
          <w:color w:val="auto"/>
          <w:szCs w:val="24"/>
        </w:rPr>
      </w:pPr>
      <w:r>
        <w:rPr>
          <w:rFonts w:cs="Times New Roman"/>
          <w:color w:val="auto"/>
          <w:szCs w:val="24"/>
        </w:rPr>
        <w:t>本项目胶合、门扇封花、焊罗马头工序使用手磨机打磨焊缝，打磨焊缝过程中会产生粉尘，经移动式简易布袋除尘器处理，以无组织形式排放。</w:t>
      </w:r>
    </w:p>
    <w:p>
      <w:pPr>
        <w:ind w:firstLine="480"/>
        <w:rPr>
          <w:rFonts w:cs="Times New Roman"/>
          <w:color w:val="auto"/>
          <w:highlight w:val="yellow"/>
        </w:rPr>
      </w:pPr>
      <w:r>
        <w:rPr>
          <w:rFonts w:ascii="Cambria Math" w:hAnsi="Cambria Math" w:cs="Cambria Math"/>
          <w:color w:val="auto"/>
        </w:rPr>
        <w:t>⑤</w:t>
      </w:r>
      <w:r>
        <w:rPr>
          <w:rFonts w:cs="Times New Roman"/>
          <w:color w:val="auto"/>
        </w:rPr>
        <w:t>喷粉粉尘</w:t>
      </w:r>
    </w:p>
    <w:p>
      <w:pPr>
        <w:snapToGrid w:val="0"/>
        <w:ind w:firstLine="480" w:firstLineChars="0"/>
        <w:rPr>
          <w:rFonts w:cs="Times New Roman"/>
          <w:color w:val="auto"/>
          <w:szCs w:val="24"/>
        </w:rPr>
      </w:pPr>
      <w:r>
        <w:rPr>
          <w:rFonts w:cs="Times New Roman"/>
          <w:color w:val="auto"/>
          <w:szCs w:val="24"/>
        </w:rPr>
        <w:t>本项目喷粉工序会产生粉尘，主要污染物为颗粒物，喷粉粉尘经“滤筒除尘器”处理后无组织排放。</w:t>
      </w:r>
    </w:p>
    <w:p>
      <w:pPr>
        <w:ind w:firstLine="480"/>
        <w:rPr>
          <w:rFonts w:cs="Times New Roman"/>
          <w:color w:val="auto"/>
          <w:highlight w:val="yellow"/>
        </w:rPr>
      </w:pPr>
      <w:r>
        <w:rPr>
          <w:rFonts w:ascii="Cambria Math" w:hAnsi="Cambria Math" w:cs="Cambria Math"/>
          <w:color w:val="auto"/>
        </w:rPr>
        <w:t>⑥</w:t>
      </w:r>
      <w:r>
        <w:rPr>
          <w:rFonts w:cs="Times New Roman"/>
          <w:color w:val="auto"/>
        </w:rPr>
        <w:t>喷粉固化废气</w:t>
      </w:r>
    </w:p>
    <w:p>
      <w:pPr>
        <w:ind w:firstLine="480"/>
        <w:rPr>
          <w:rFonts w:cs="Times New Roman"/>
          <w:color w:val="auto"/>
          <w:szCs w:val="24"/>
        </w:rPr>
      </w:pPr>
      <w:r>
        <w:rPr>
          <w:rFonts w:cs="Times New Roman"/>
          <w:color w:val="auto"/>
          <w:szCs w:val="24"/>
        </w:rPr>
        <w:t>本项目喷粉房喷粉后进入粉末固化炉固化，固化工序会产生有机废气VOCs，本项目固化废气经集气罩收集后引至“水喷淋+干式过滤+二级活性炭吸附”装置（TA001）处理，处理后废气经15m高排气筒DA001排放。</w:t>
      </w:r>
    </w:p>
    <w:p>
      <w:pPr>
        <w:ind w:firstLine="480"/>
        <w:rPr>
          <w:rFonts w:cs="Times New Roman"/>
          <w:color w:val="auto"/>
        </w:rPr>
      </w:pPr>
      <w:r>
        <w:rPr>
          <w:rFonts w:ascii="Cambria Math" w:hAnsi="Cambria Math" w:cs="Cambria Math"/>
          <w:color w:val="auto"/>
        </w:rPr>
        <w:t>⑦</w:t>
      </w:r>
      <w:r>
        <w:rPr>
          <w:rFonts w:cs="Times New Roman"/>
          <w:color w:val="auto"/>
        </w:rPr>
        <w:t>胶合有机废气</w:t>
      </w:r>
    </w:p>
    <w:p>
      <w:pPr>
        <w:ind w:firstLine="480"/>
        <w:rPr>
          <w:rFonts w:cs="Times New Roman"/>
          <w:color w:val="auto"/>
          <w:szCs w:val="24"/>
        </w:rPr>
      </w:pPr>
      <w:r>
        <w:rPr>
          <w:rFonts w:cs="Times New Roman"/>
          <w:color w:val="auto"/>
          <w:szCs w:val="24"/>
        </w:rPr>
        <w:t>本项目胶合工序使用粘合剂会产生有机废气（以总VOCs计），胶合有机废气经密闭负压收集后引至“水喷淋+干式过滤+二级活性炭吸附”装置（TA001）处理，处理后废气经15m高排气筒DA001排放。</w:t>
      </w:r>
    </w:p>
    <w:p>
      <w:pPr>
        <w:ind w:firstLine="480"/>
        <w:rPr>
          <w:rFonts w:cs="Times New Roman"/>
          <w:color w:val="auto"/>
          <w:highlight w:val="yellow"/>
        </w:rPr>
      </w:pPr>
      <w:r>
        <w:rPr>
          <w:rFonts w:ascii="Cambria Math" w:hAnsi="Cambria Math" w:cs="Cambria Math"/>
          <w:color w:val="auto"/>
        </w:rPr>
        <w:t>⑧</w:t>
      </w:r>
      <w:r>
        <w:rPr>
          <w:rFonts w:cs="Times New Roman"/>
          <w:color w:val="auto"/>
        </w:rPr>
        <w:t>清抹有机废气</w:t>
      </w:r>
    </w:p>
    <w:p>
      <w:pPr>
        <w:ind w:firstLine="480"/>
        <w:rPr>
          <w:rFonts w:cs="Times New Roman"/>
          <w:color w:val="auto"/>
          <w:szCs w:val="24"/>
        </w:rPr>
      </w:pPr>
      <w:r>
        <w:rPr>
          <w:rFonts w:cs="Times New Roman"/>
          <w:color w:val="auto"/>
          <w:szCs w:val="24"/>
        </w:rPr>
        <w:t>本项目不锈钢门喷粉前使用清洗剂进行清抹，清抹工序会产生有机废气（以总VOCs计），清抹有机废气经密闭负压收集后引至“水喷淋+干式过滤+二级活性炭吸附”装置（TA002）处理，处理后废气经15m高排气筒DA002排放。</w:t>
      </w:r>
    </w:p>
    <w:p>
      <w:pPr>
        <w:ind w:firstLine="480"/>
        <w:rPr>
          <w:rFonts w:cs="Times New Roman"/>
          <w:color w:val="auto"/>
          <w:highlight w:val="yellow"/>
        </w:rPr>
      </w:pPr>
      <w:r>
        <w:rPr>
          <w:rFonts w:ascii="Cambria Math" w:hAnsi="Cambria Math" w:cs="Cambria Math"/>
          <w:color w:val="auto"/>
        </w:rPr>
        <w:t>⑨</w:t>
      </w:r>
      <w:r>
        <w:rPr>
          <w:rFonts w:cs="Times New Roman"/>
          <w:color w:val="auto"/>
        </w:rPr>
        <w:t>喷漆废气</w:t>
      </w:r>
    </w:p>
    <w:p>
      <w:pPr>
        <w:ind w:firstLine="480"/>
        <w:rPr>
          <w:rFonts w:cs="Times New Roman"/>
          <w:color w:val="auto"/>
          <w:szCs w:val="24"/>
        </w:rPr>
      </w:pPr>
      <w:r>
        <w:rPr>
          <w:rFonts w:cs="Times New Roman"/>
          <w:color w:val="auto"/>
          <w:szCs w:val="24"/>
        </w:rPr>
        <w:t>本项目在喷漆房1内进行一次喷漆及洗枪，二次喷漆及洗枪，一次喷漆使用的涂料是青铜漆或纯水性色漆，二次喷漆使用的涂料是拉丝漆，喷涂方式为人工喷涂。喷漆房1喷漆废气经密闭负压收集引至水帘柜预处理后，引至“水喷淋+干式过滤+二级活性炭吸附”装置（TA001）处理，处理后废气经15m高排气筒DA001排放。喷漆房2喷漆废气经密闭负压收集引至水帘柜预处理后，引至“水喷淋+干式过滤+二级活性炭吸附”装置（TA002）处理，处理后废气经15m高排气筒DA002排放。</w:t>
      </w:r>
    </w:p>
    <w:p>
      <w:pPr>
        <w:ind w:firstLine="480"/>
        <w:rPr>
          <w:rFonts w:cs="Times New Roman"/>
          <w:color w:val="auto"/>
          <w:highlight w:val="yellow"/>
        </w:rPr>
      </w:pPr>
      <w:r>
        <w:rPr>
          <w:rFonts w:ascii="Cambria Math" w:hAnsi="Cambria Math" w:cs="Cambria Math"/>
          <w:color w:val="auto"/>
        </w:rPr>
        <w:t>⑩</w:t>
      </w:r>
      <w:r>
        <w:rPr>
          <w:rFonts w:cs="Times New Roman"/>
          <w:color w:val="auto"/>
        </w:rPr>
        <w:t>烘干废气</w:t>
      </w:r>
    </w:p>
    <w:p>
      <w:pPr>
        <w:ind w:firstLine="480"/>
        <w:rPr>
          <w:rFonts w:cs="Times New Roman"/>
          <w:color w:val="auto"/>
          <w:szCs w:val="24"/>
        </w:rPr>
      </w:pPr>
      <w:r>
        <w:rPr>
          <w:rFonts w:cs="Times New Roman"/>
          <w:color w:val="auto"/>
          <w:szCs w:val="24"/>
        </w:rPr>
        <w:t>本项目在烤漆炉1内进行一次喷漆后烘干，在烤漆炉2内进行三次喷漆后烘干。本项目烤漆炉1烘干废气经集气罩收集后引至“水喷淋+干式过滤+二级活性炭吸附”装置（TA001）处理，处理后废气经15m高排气筒DA001排放。烤漆炉2烘干废气经集气罩收集后引至“水喷淋+干式过滤+二级活性炭吸附”装置（TA002）处理，处理后废气经15m高排气筒DA002排放</w:t>
      </w:r>
      <w:r>
        <w:rPr>
          <w:rFonts w:hint="eastAsia" w:cs="Times New Roman"/>
          <w:color w:val="auto"/>
          <w:szCs w:val="24"/>
        </w:rPr>
        <w:t>。</w:t>
      </w:r>
    </w:p>
    <w:p>
      <w:pPr>
        <w:ind w:firstLine="480"/>
        <w:rPr>
          <w:rFonts w:cs="Times New Roman"/>
          <w:color w:val="auto"/>
        </w:rPr>
      </w:pPr>
      <w:r>
        <w:rPr>
          <w:rFonts w:ascii="Cambria Math" w:hAnsi="Cambria Math" w:cs="Cambria Math"/>
          <w:color w:val="auto"/>
        </w:rPr>
        <w:t>⑪</w:t>
      </w:r>
      <w:r>
        <w:rPr>
          <w:rFonts w:cs="Times New Roman"/>
          <w:color w:val="auto"/>
        </w:rPr>
        <w:t>液化石油气燃烧废气</w:t>
      </w:r>
    </w:p>
    <w:p>
      <w:pPr>
        <w:ind w:firstLine="480"/>
        <w:rPr>
          <w:rFonts w:cs="Times New Roman"/>
          <w:color w:val="auto"/>
          <w:szCs w:val="24"/>
        </w:rPr>
      </w:pPr>
      <w:r>
        <w:rPr>
          <w:rFonts w:cs="Times New Roman"/>
          <w:color w:val="auto"/>
          <w:szCs w:val="24"/>
        </w:rPr>
        <w:t>本项目烤漆炉1、烤漆炉2、粉末固化炉使用燃料为液化石油气，本项目烤漆炉1液化石油气燃烧废气和烘干废气混在一起无法分开，随烘干废气一起经集气罩收集后，引至“水喷淋+干式过滤+二级活性炭吸附”装置（TA001）处理，处理后废气经15m高排气筒（TA001）排放；烤漆炉2液化石油气燃烧废气和烘干废气混在一起无法分开，随烘干废气一起经集气罩收集后，引至“水喷淋+干式过滤+二级活性炭吸附”装置（TA002）处理，处理后废气经15m高排气筒（TA002）排放；固化炉液化石油气燃烧废气和固化废气混在一起无法分开，随固化废气一起经集气罩收集后，引至“水喷淋+干式过滤+二级活性炭吸附”装置（TA001）处理，处理后废气经15m高排气筒（TA001）排放。</w:t>
      </w:r>
    </w:p>
    <w:p>
      <w:pPr>
        <w:ind w:firstLine="480"/>
        <w:rPr>
          <w:rFonts w:cs="Times New Roman"/>
          <w:color w:val="auto"/>
        </w:rPr>
      </w:pPr>
      <w:r>
        <w:rPr>
          <w:rFonts w:ascii="Cambria Math" w:hAnsi="Cambria Math" w:cs="Cambria Math"/>
          <w:color w:val="auto"/>
        </w:rPr>
        <w:t>⑫</w:t>
      </w:r>
      <w:r>
        <w:rPr>
          <w:rFonts w:cs="Times New Roman"/>
          <w:color w:val="auto"/>
        </w:rPr>
        <w:t>危废间废气</w:t>
      </w:r>
    </w:p>
    <w:p>
      <w:pPr>
        <w:ind w:firstLine="480"/>
        <w:rPr>
          <w:rFonts w:cs="Times New Roman"/>
          <w:color w:val="auto"/>
        </w:rPr>
      </w:pPr>
      <w:r>
        <w:rPr>
          <w:rFonts w:cs="Times New Roman"/>
          <w:color w:val="auto"/>
        </w:rPr>
        <w:t>项目危废间废气经密闭负压收集后引至“水喷淋+干式过滤+二级活性炭吸附”（TA001）处理，处理后废气经15m高排气筒DA001排放。</w:t>
      </w:r>
    </w:p>
    <w:p>
      <w:pPr>
        <w:ind w:firstLine="480"/>
        <w:rPr>
          <w:rFonts w:cs="Times New Roman"/>
          <w:color w:val="auto"/>
        </w:rPr>
      </w:pPr>
      <w:r>
        <w:rPr>
          <w:rFonts w:ascii="Cambria Math" w:hAnsi="Cambria Math" w:cs="Cambria Math"/>
          <w:color w:val="auto"/>
        </w:rPr>
        <w:t>⑬</w:t>
      </w:r>
      <w:r>
        <w:rPr>
          <w:rFonts w:cs="Times New Roman"/>
          <w:color w:val="auto"/>
        </w:rPr>
        <w:t>成品调试废气</w:t>
      </w:r>
    </w:p>
    <w:p>
      <w:pPr>
        <w:ind w:firstLine="480"/>
        <w:rPr>
          <w:rFonts w:cs="Times New Roman"/>
          <w:color w:val="auto"/>
        </w:rPr>
      </w:pPr>
      <w:r>
        <w:rPr>
          <w:rFonts w:cs="Times New Roman"/>
          <w:color w:val="auto"/>
        </w:rPr>
        <w:t>本项目成品调试过程中使用玻璃胶填补门扇与门框、包边等接缝处的微小缝隙，使用玻璃胶会产生有机废气（以总VOCs计），采用无组织排放形式。</w:t>
      </w:r>
    </w:p>
    <w:p>
      <w:pPr>
        <w:ind w:firstLine="480"/>
        <w:rPr>
          <w:rFonts w:cs="Times New Roman"/>
          <w:color w:val="auto"/>
        </w:rPr>
      </w:pPr>
      <w:r>
        <w:rPr>
          <w:rFonts w:ascii="Cambria Math" w:hAnsi="Cambria Math" w:cs="Cambria Math"/>
          <w:color w:val="auto"/>
        </w:rPr>
        <w:t>⑭</w:t>
      </w:r>
      <w:r>
        <w:rPr>
          <w:rFonts w:cs="Times New Roman"/>
          <w:color w:val="auto"/>
        </w:rPr>
        <w:t>油烟废气</w:t>
      </w:r>
    </w:p>
    <w:p>
      <w:pPr>
        <w:ind w:firstLine="480"/>
        <w:rPr>
          <w:rFonts w:cs="Times New Roman"/>
          <w:color w:val="auto"/>
        </w:rPr>
      </w:pPr>
      <w:r>
        <w:rPr>
          <w:rFonts w:cs="Times New Roman"/>
          <w:color w:val="auto"/>
        </w:rPr>
        <w:t>厨房油烟废气经静电油烟净化器处理后，由专用烟管引至楼顶排放。</w:t>
      </w:r>
    </w:p>
    <w:p>
      <w:pPr>
        <w:ind w:firstLine="480"/>
        <w:rPr>
          <w:rFonts w:cs="Times New Roman"/>
          <w:color w:val="auto"/>
        </w:rPr>
      </w:pPr>
      <w:r>
        <w:rPr>
          <w:rFonts w:cs="Times New Roman"/>
          <w:color w:val="auto"/>
        </w:rPr>
        <w:t>本项目本项目废气治理措施详见图4-1。</w:t>
      </w:r>
    </w:p>
    <w:tbl>
      <w:tblPr>
        <w:tblStyle w:val="25"/>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69"/>
        <w:gridCol w:w="43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169" w:type="dxa"/>
          </w:tcPr>
          <w:p>
            <w:pPr>
              <w:ind w:firstLine="480"/>
              <w:rPr>
                <w:color w:val="auto"/>
              </w:rPr>
            </w:pPr>
            <w:r>
              <w:rPr>
                <w:rFonts w:hint="eastAsia"/>
                <w:color w:val="auto"/>
              </w:rPr>
              <w:drawing>
                <wp:inline distT="0" distB="0" distL="114300" distR="114300">
                  <wp:extent cx="2027555" cy="2555875"/>
                  <wp:effectExtent l="0" t="0" r="1905" b="2540"/>
                  <wp:docPr id="30" name="图片 30" descr="04c60af63c9a859ec478f9b0840379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04c60af63c9a859ec478f9b08403796d"/>
                          <pic:cNvPicPr>
                            <a:picLocks noChangeAspect="1"/>
                          </pic:cNvPicPr>
                        </pic:nvPicPr>
                        <pic:blipFill>
                          <a:blip r:embed="rId19"/>
                          <a:srcRect/>
                          <a:stretch>
                            <a:fillRect/>
                          </a:stretch>
                        </pic:blipFill>
                        <pic:spPr>
                          <a:xfrm>
                            <a:off x="0" y="0"/>
                            <a:ext cx="2027555" cy="2555875"/>
                          </a:xfrm>
                          <a:prstGeom prst="rect">
                            <a:avLst/>
                          </a:prstGeom>
                        </pic:spPr>
                      </pic:pic>
                    </a:graphicData>
                  </a:graphic>
                </wp:inline>
              </w:drawing>
            </w:r>
          </w:p>
          <w:p>
            <w:pPr>
              <w:ind w:firstLine="480"/>
              <w:jc w:val="center"/>
              <w:rPr>
                <w:color w:val="auto"/>
              </w:rPr>
            </w:pPr>
            <w:r>
              <w:rPr>
                <w:rFonts w:hint="eastAsia"/>
                <w:color w:val="auto"/>
              </w:rPr>
              <w:t>移动式焊烟净化器</w:t>
            </w:r>
          </w:p>
        </w:tc>
        <w:tc>
          <w:tcPr>
            <w:tcW w:w="4353" w:type="dxa"/>
          </w:tcPr>
          <w:p>
            <w:pPr>
              <w:ind w:firstLine="0" w:firstLineChars="0"/>
              <w:jc w:val="center"/>
              <w:rPr>
                <w:color w:val="auto"/>
              </w:rPr>
            </w:pPr>
            <w:r>
              <w:rPr>
                <w:rFonts w:hint="eastAsia"/>
                <w:color w:val="auto"/>
              </w:rPr>
              <w:drawing>
                <wp:inline distT="0" distB="0" distL="114300" distR="114300">
                  <wp:extent cx="2400935" cy="2454275"/>
                  <wp:effectExtent l="0" t="0" r="6350" b="6985"/>
                  <wp:docPr id="31" name="图片 31" descr="e6b0f4fbf7a84cc4dac055ef93d5d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e6b0f4fbf7a84cc4dac055ef93d5d380"/>
                          <pic:cNvPicPr>
                            <a:picLocks noChangeAspect="1"/>
                          </pic:cNvPicPr>
                        </pic:nvPicPr>
                        <pic:blipFill>
                          <a:blip r:embed="rId20"/>
                          <a:srcRect/>
                          <a:stretch>
                            <a:fillRect/>
                          </a:stretch>
                        </pic:blipFill>
                        <pic:spPr>
                          <a:xfrm>
                            <a:off x="0" y="0"/>
                            <a:ext cx="2400935" cy="2454275"/>
                          </a:xfrm>
                          <a:prstGeom prst="rect">
                            <a:avLst/>
                          </a:prstGeom>
                        </pic:spPr>
                      </pic:pic>
                    </a:graphicData>
                  </a:graphic>
                </wp:inline>
              </w:drawing>
            </w:r>
          </w:p>
          <w:p>
            <w:pPr>
              <w:ind w:firstLine="0" w:firstLineChars="0"/>
              <w:jc w:val="center"/>
              <w:rPr>
                <w:color w:val="auto"/>
              </w:rPr>
            </w:pPr>
            <w:r>
              <w:rPr>
                <w:rFonts w:hint="eastAsia"/>
                <w:color w:val="auto"/>
              </w:rPr>
              <w:t>清抹区收集管道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169" w:type="dxa"/>
          </w:tcPr>
          <w:p>
            <w:pPr>
              <w:ind w:firstLine="0" w:firstLineChars="0"/>
              <w:jc w:val="left"/>
              <w:rPr>
                <w:color w:val="auto"/>
              </w:rPr>
            </w:pPr>
            <w:r>
              <w:rPr>
                <w:rFonts w:hint="eastAsia"/>
                <w:color w:val="auto"/>
              </w:rPr>
              <w:drawing>
                <wp:inline distT="0" distB="0" distL="114300" distR="114300">
                  <wp:extent cx="2446655" cy="1884680"/>
                  <wp:effectExtent l="0" t="0" r="3810" b="4445"/>
                  <wp:docPr id="32" name="图片 32" descr="fb0d6fb68b1e21d2901a06e554e00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fb0d6fb68b1e21d2901a06e554e00397"/>
                          <pic:cNvPicPr>
                            <a:picLocks noChangeAspect="1"/>
                          </pic:cNvPicPr>
                        </pic:nvPicPr>
                        <pic:blipFill>
                          <a:blip r:embed="rId21"/>
                          <a:srcRect/>
                          <a:stretch>
                            <a:fillRect/>
                          </a:stretch>
                        </pic:blipFill>
                        <pic:spPr>
                          <a:xfrm>
                            <a:off x="0" y="0"/>
                            <a:ext cx="2446655" cy="1884680"/>
                          </a:xfrm>
                          <a:prstGeom prst="rect">
                            <a:avLst/>
                          </a:prstGeom>
                        </pic:spPr>
                      </pic:pic>
                    </a:graphicData>
                  </a:graphic>
                </wp:inline>
              </w:drawing>
            </w:r>
          </w:p>
          <w:p>
            <w:pPr>
              <w:ind w:firstLine="0" w:firstLineChars="0"/>
              <w:jc w:val="center"/>
              <w:rPr>
                <w:color w:val="auto"/>
              </w:rPr>
            </w:pPr>
            <w:r>
              <w:rPr>
                <w:rFonts w:hint="eastAsia"/>
                <w:color w:val="auto"/>
              </w:rPr>
              <w:t>胶合收集管道</w:t>
            </w:r>
          </w:p>
        </w:tc>
        <w:tc>
          <w:tcPr>
            <w:tcW w:w="4353" w:type="dxa"/>
          </w:tcPr>
          <w:p>
            <w:pPr>
              <w:ind w:firstLine="480"/>
              <w:rPr>
                <w:color w:val="auto"/>
              </w:rPr>
            </w:pPr>
            <w:r>
              <w:rPr>
                <w:rFonts w:hint="eastAsia"/>
                <w:color w:val="auto"/>
              </w:rPr>
              <w:drawing>
                <wp:inline distT="0" distB="0" distL="114300" distR="114300">
                  <wp:extent cx="2159000" cy="1893570"/>
                  <wp:effectExtent l="0" t="0" r="0" b="6350"/>
                  <wp:docPr id="33" name="图片 33" descr="5fc06c3a88f936b24504f068a0b68aa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5fc06c3a88f936b24504f068a0b68aa8"/>
                          <pic:cNvPicPr>
                            <a:picLocks noChangeAspect="1"/>
                          </pic:cNvPicPr>
                        </pic:nvPicPr>
                        <pic:blipFill>
                          <a:blip r:embed="rId22"/>
                          <a:srcRect/>
                          <a:stretch>
                            <a:fillRect/>
                          </a:stretch>
                        </pic:blipFill>
                        <pic:spPr>
                          <a:xfrm>
                            <a:off x="0" y="0"/>
                            <a:ext cx="2159000" cy="1893570"/>
                          </a:xfrm>
                          <a:prstGeom prst="rect">
                            <a:avLst/>
                          </a:prstGeom>
                        </pic:spPr>
                      </pic:pic>
                    </a:graphicData>
                  </a:graphic>
                </wp:inline>
              </w:drawing>
            </w:r>
          </w:p>
          <w:p>
            <w:pPr>
              <w:ind w:firstLine="480"/>
              <w:jc w:val="center"/>
              <w:rPr>
                <w:color w:val="auto"/>
              </w:rPr>
            </w:pPr>
            <w:r>
              <w:rPr>
                <w:rFonts w:hint="eastAsia"/>
                <w:color w:val="auto"/>
              </w:rPr>
              <w:t>烤漆炉1收集管道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169" w:type="dxa"/>
          </w:tcPr>
          <w:p>
            <w:pPr>
              <w:ind w:firstLine="0" w:firstLineChars="0"/>
              <w:rPr>
                <w:color w:val="auto"/>
              </w:rPr>
            </w:pPr>
            <w:r>
              <w:rPr>
                <w:rFonts w:hint="eastAsia"/>
                <w:color w:val="auto"/>
              </w:rPr>
              <w:drawing>
                <wp:inline distT="0" distB="0" distL="114300" distR="114300">
                  <wp:extent cx="2567940" cy="2005965"/>
                  <wp:effectExtent l="0" t="0" r="0" b="0"/>
                  <wp:docPr id="34" name="图片 34" descr="3be821e51049abd54d612a8475f3c6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3be821e51049abd54d612a8475f3c6ec"/>
                          <pic:cNvPicPr>
                            <a:picLocks noChangeAspect="1"/>
                          </pic:cNvPicPr>
                        </pic:nvPicPr>
                        <pic:blipFill>
                          <a:blip r:embed="rId23"/>
                          <a:srcRect/>
                          <a:stretch>
                            <a:fillRect/>
                          </a:stretch>
                        </pic:blipFill>
                        <pic:spPr>
                          <a:xfrm>
                            <a:off x="0" y="0"/>
                            <a:ext cx="2567940" cy="2005965"/>
                          </a:xfrm>
                          <a:prstGeom prst="rect">
                            <a:avLst/>
                          </a:prstGeom>
                        </pic:spPr>
                      </pic:pic>
                    </a:graphicData>
                  </a:graphic>
                </wp:inline>
              </w:drawing>
            </w:r>
          </w:p>
          <w:p>
            <w:pPr>
              <w:ind w:firstLine="0" w:firstLineChars="0"/>
              <w:jc w:val="center"/>
              <w:rPr>
                <w:color w:val="auto"/>
              </w:rPr>
            </w:pPr>
            <w:r>
              <w:rPr>
                <w:rFonts w:hint="eastAsia"/>
                <w:color w:val="auto"/>
              </w:rPr>
              <w:t>烤漆炉2管道收集</w:t>
            </w:r>
          </w:p>
        </w:tc>
        <w:tc>
          <w:tcPr>
            <w:tcW w:w="4353" w:type="dxa"/>
          </w:tcPr>
          <w:p>
            <w:pPr>
              <w:ind w:firstLine="0" w:firstLineChars="0"/>
              <w:rPr>
                <w:color w:val="auto"/>
              </w:rPr>
            </w:pPr>
            <w:r>
              <w:rPr>
                <w:rFonts w:hint="eastAsia"/>
                <w:color w:val="auto"/>
              </w:rPr>
              <w:drawing>
                <wp:inline distT="0" distB="0" distL="114300" distR="114300">
                  <wp:extent cx="2647950" cy="2051685"/>
                  <wp:effectExtent l="0" t="0" r="7620" b="10160"/>
                  <wp:docPr id="35" name="图片 35" descr="a2cc6cd19de770ee3dec503425d98f5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a2cc6cd19de770ee3dec503425d98f5f"/>
                          <pic:cNvPicPr>
                            <a:picLocks noChangeAspect="1"/>
                          </pic:cNvPicPr>
                        </pic:nvPicPr>
                        <pic:blipFill>
                          <a:blip r:embed="rId24"/>
                          <a:srcRect/>
                          <a:stretch>
                            <a:fillRect/>
                          </a:stretch>
                        </pic:blipFill>
                        <pic:spPr>
                          <a:xfrm>
                            <a:off x="0" y="0"/>
                            <a:ext cx="2647950" cy="2051685"/>
                          </a:xfrm>
                          <a:prstGeom prst="rect">
                            <a:avLst/>
                          </a:prstGeom>
                        </pic:spPr>
                      </pic:pic>
                    </a:graphicData>
                  </a:graphic>
                </wp:inline>
              </w:drawing>
            </w:r>
          </w:p>
          <w:p>
            <w:pPr>
              <w:ind w:firstLine="0" w:firstLineChars="0"/>
              <w:jc w:val="center"/>
              <w:rPr>
                <w:color w:val="auto"/>
              </w:rPr>
            </w:pPr>
            <w:r>
              <w:rPr>
                <w:rFonts w:hint="eastAsia"/>
                <w:color w:val="auto"/>
              </w:rPr>
              <w:t>喷漆房1管道收集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4169" w:type="dxa"/>
          </w:tcPr>
          <w:p>
            <w:pPr>
              <w:ind w:firstLine="0" w:firstLineChars="0"/>
              <w:rPr>
                <w:color w:val="auto"/>
              </w:rPr>
            </w:pPr>
            <w:r>
              <w:rPr>
                <w:rFonts w:hint="eastAsia"/>
                <w:color w:val="auto"/>
              </w:rPr>
              <w:drawing>
                <wp:inline distT="0" distB="0" distL="114300" distR="114300">
                  <wp:extent cx="2474595" cy="1692275"/>
                  <wp:effectExtent l="0" t="0" r="8255" b="2540"/>
                  <wp:docPr id="36" name="图片 36" descr="04f6baafec574603fd1541353b325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04f6baafec574603fd1541353b325093"/>
                          <pic:cNvPicPr>
                            <a:picLocks noChangeAspect="1"/>
                          </pic:cNvPicPr>
                        </pic:nvPicPr>
                        <pic:blipFill>
                          <a:blip r:embed="rId25"/>
                          <a:stretch>
                            <a:fillRect/>
                          </a:stretch>
                        </pic:blipFill>
                        <pic:spPr>
                          <a:xfrm>
                            <a:off x="0" y="0"/>
                            <a:ext cx="2474595" cy="1692275"/>
                          </a:xfrm>
                          <a:prstGeom prst="rect">
                            <a:avLst/>
                          </a:prstGeom>
                        </pic:spPr>
                      </pic:pic>
                    </a:graphicData>
                  </a:graphic>
                </wp:inline>
              </w:drawing>
            </w:r>
          </w:p>
          <w:p>
            <w:pPr>
              <w:ind w:firstLine="0" w:firstLineChars="0"/>
              <w:jc w:val="center"/>
              <w:rPr>
                <w:color w:val="auto"/>
              </w:rPr>
            </w:pPr>
            <w:r>
              <w:rPr>
                <w:rFonts w:hint="eastAsia"/>
                <w:color w:val="auto"/>
              </w:rPr>
              <w:t>喷漆房2管道收集</w:t>
            </w:r>
          </w:p>
        </w:tc>
        <w:tc>
          <w:tcPr>
            <w:tcW w:w="4353" w:type="dxa"/>
          </w:tcPr>
          <w:p>
            <w:pPr>
              <w:ind w:firstLine="0" w:firstLineChars="0"/>
              <w:jc w:val="center"/>
              <w:rPr>
                <w:color w:val="auto"/>
              </w:rPr>
            </w:pPr>
            <w:r>
              <w:rPr>
                <w:rFonts w:hint="eastAsia"/>
                <w:color w:val="auto"/>
              </w:rPr>
              <w:drawing>
                <wp:inline distT="0" distB="0" distL="114300" distR="114300">
                  <wp:extent cx="2202815" cy="1717040"/>
                  <wp:effectExtent l="0" t="0" r="10160" b="10160"/>
                  <wp:docPr id="37" name="图片 37" descr="c40e25c23628c0b70ccc428c5129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c40e25c23628c0b70ccc428c51292521"/>
                          <pic:cNvPicPr>
                            <a:picLocks noChangeAspect="1"/>
                          </pic:cNvPicPr>
                        </pic:nvPicPr>
                        <pic:blipFill>
                          <a:blip r:embed="rId26"/>
                          <a:srcRect/>
                          <a:stretch>
                            <a:fillRect/>
                          </a:stretch>
                        </pic:blipFill>
                        <pic:spPr>
                          <a:xfrm>
                            <a:off x="0" y="0"/>
                            <a:ext cx="2202815" cy="1717040"/>
                          </a:xfrm>
                          <a:prstGeom prst="rect">
                            <a:avLst/>
                          </a:prstGeom>
                        </pic:spPr>
                      </pic:pic>
                    </a:graphicData>
                  </a:graphic>
                </wp:inline>
              </w:drawing>
            </w:r>
          </w:p>
          <w:p>
            <w:pPr>
              <w:ind w:firstLine="0" w:firstLineChars="0"/>
              <w:jc w:val="center"/>
              <w:rPr>
                <w:color w:val="auto"/>
              </w:rPr>
            </w:pPr>
            <w:r>
              <w:rPr>
                <w:rFonts w:hint="eastAsia"/>
                <w:color w:val="auto"/>
              </w:rPr>
              <w:t>危废间管道收集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522" w:type="dxa"/>
            <w:gridSpan w:val="2"/>
          </w:tcPr>
          <w:p>
            <w:pPr>
              <w:ind w:firstLine="0" w:firstLineChars="0"/>
              <w:jc w:val="center"/>
              <w:rPr>
                <w:color w:val="auto"/>
              </w:rPr>
            </w:pPr>
            <w:r>
              <w:rPr>
                <w:rFonts w:hint="eastAsia"/>
                <w:color w:val="auto"/>
              </w:rPr>
              <w:drawing>
                <wp:inline distT="0" distB="0" distL="114300" distR="114300">
                  <wp:extent cx="1790700" cy="2621280"/>
                  <wp:effectExtent l="0" t="0" r="1270" b="1905"/>
                  <wp:docPr id="38" name="图片 38" descr="5f98b1689f04c64c7ae41c8358e2b3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5f98b1689f04c64c7ae41c8358e2b3e2"/>
                          <pic:cNvPicPr>
                            <a:picLocks noChangeAspect="1"/>
                          </pic:cNvPicPr>
                        </pic:nvPicPr>
                        <pic:blipFill>
                          <a:blip r:embed="rId27"/>
                          <a:srcRect/>
                          <a:stretch>
                            <a:fillRect/>
                          </a:stretch>
                        </pic:blipFill>
                        <pic:spPr>
                          <a:xfrm>
                            <a:off x="0" y="0"/>
                            <a:ext cx="1790700" cy="2621280"/>
                          </a:xfrm>
                          <a:prstGeom prst="rect">
                            <a:avLst/>
                          </a:prstGeom>
                        </pic:spPr>
                      </pic:pic>
                    </a:graphicData>
                  </a:graphic>
                </wp:inline>
              </w:drawing>
            </w:r>
            <w:r>
              <w:rPr>
                <w:rFonts w:hint="eastAsia"/>
                <w:color w:val="auto"/>
              </w:rPr>
              <w:t xml:space="preserve">   </w:t>
            </w:r>
            <w:r>
              <w:rPr>
                <w:rFonts w:hint="eastAsia"/>
                <w:color w:val="auto"/>
              </w:rPr>
              <w:drawing>
                <wp:inline distT="0" distB="0" distL="114300" distR="114300">
                  <wp:extent cx="2685415" cy="1982470"/>
                  <wp:effectExtent l="0" t="0" r="2540" b="3810"/>
                  <wp:docPr id="39" name="图片 39" descr="23e5982203623993e09abc8880b8a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23e5982203623993e09abc8880b8a794"/>
                          <pic:cNvPicPr>
                            <a:picLocks noChangeAspect="1"/>
                          </pic:cNvPicPr>
                        </pic:nvPicPr>
                        <pic:blipFill>
                          <a:blip r:embed="rId28"/>
                          <a:srcRect/>
                          <a:stretch>
                            <a:fillRect/>
                          </a:stretch>
                        </pic:blipFill>
                        <pic:spPr>
                          <a:xfrm>
                            <a:off x="0" y="0"/>
                            <a:ext cx="2685415" cy="1982470"/>
                          </a:xfrm>
                          <a:prstGeom prst="rect">
                            <a:avLst/>
                          </a:prstGeom>
                        </pic:spPr>
                      </pic:pic>
                    </a:graphicData>
                  </a:graphic>
                </wp:inline>
              </w:drawing>
            </w:r>
          </w:p>
          <w:p>
            <w:pPr>
              <w:ind w:firstLine="0" w:firstLineChars="0"/>
              <w:jc w:val="center"/>
              <w:rPr>
                <w:color w:val="auto"/>
              </w:rPr>
            </w:pPr>
            <w:r>
              <w:rPr>
                <w:rFonts w:hint="eastAsia"/>
                <w:color w:val="auto"/>
              </w:rPr>
              <w:t>废气排放口DA001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522" w:type="dxa"/>
            <w:gridSpan w:val="2"/>
          </w:tcPr>
          <w:p>
            <w:pPr>
              <w:ind w:firstLine="0" w:firstLineChars="0"/>
              <w:rPr>
                <w:color w:val="auto"/>
              </w:rPr>
            </w:pPr>
            <w:r>
              <w:rPr>
                <w:rFonts w:hint="eastAsia"/>
                <w:color w:val="auto"/>
              </w:rPr>
              <w:drawing>
                <wp:inline distT="0" distB="0" distL="114300" distR="114300">
                  <wp:extent cx="2570480" cy="2029460"/>
                  <wp:effectExtent l="0" t="0" r="9525" b="0"/>
                  <wp:docPr id="40" name="图片 40" descr="2cc76dd80156d873ed6239f07099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2cc76dd80156d873ed6239f070992039"/>
                          <pic:cNvPicPr>
                            <a:picLocks noChangeAspect="1"/>
                          </pic:cNvPicPr>
                        </pic:nvPicPr>
                        <pic:blipFill>
                          <a:blip r:embed="rId29"/>
                          <a:srcRect/>
                          <a:stretch>
                            <a:fillRect/>
                          </a:stretch>
                        </pic:blipFill>
                        <pic:spPr>
                          <a:xfrm>
                            <a:off x="0" y="0"/>
                            <a:ext cx="2570480" cy="2029460"/>
                          </a:xfrm>
                          <a:prstGeom prst="rect">
                            <a:avLst/>
                          </a:prstGeom>
                        </pic:spPr>
                      </pic:pic>
                    </a:graphicData>
                  </a:graphic>
                </wp:inline>
              </w:drawing>
            </w:r>
            <w:r>
              <w:rPr>
                <w:rFonts w:hint="eastAsia"/>
                <w:color w:val="auto"/>
              </w:rPr>
              <w:t xml:space="preserve"> </w:t>
            </w:r>
            <w:r>
              <w:rPr>
                <w:color w:val="auto"/>
              </w:rPr>
              <w:drawing>
                <wp:inline distT="0" distB="0" distL="114300" distR="114300">
                  <wp:extent cx="2526665" cy="2023745"/>
                  <wp:effectExtent l="0" t="0" r="10160" b="5715"/>
                  <wp:docPr id="42" name="图片 42" descr="da7f36f04d2b24668bf8eae7e793c8c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da7f36f04d2b24668bf8eae7e793c8cf"/>
                          <pic:cNvPicPr>
                            <a:picLocks noChangeAspect="1"/>
                          </pic:cNvPicPr>
                        </pic:nvPicPr>
                        <pic:blipFill>
                          <a:blip r:embed="rId30"/>
                          <a:srcRect/>
                          <a:stretch>
                            <a:fillRect/>
                          </a:stretch>
                        </pic:blipFill>
                        <pic:spPr>
                          <a:xfrm>
                            <a:off x="0" y="0"/>
                            <a:ext cx="2526665" cy="2023745"/>
                          </a:xfrm>
                          <a:prstGeom prst="rect">
                            <a:avLst/>
                          </a:prstGeom>
                        </pic:spPr>
                      </pic:pic>
                    </a:graphicData>
                  </a:graphic>
                </wp:inline>
              </w:drawing>
            </w:r>
          </w:p>
          <w:p>
            <w:pPr>
              <w:ind w:firstLine="0" w:firstLineChars="0"/>
              <w:jc w:val="center"/>
              <w:rPr>
                <w:color w:val="auto"/>
              </w:rPr>
            </w:pPr>
            <w:r>
              <w:rPr>
                <w:rFonts w:hint="eastAsia"/>
                <w:color w:val="auto"/>
              </w:rPr>
              <w:t>废气排放口DA002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522" w:type="dxa"/>
            <w:gridSpan w:val="2"/>
          </w:tcPr>
          <w:p>
            <w:pPr>
              <w:ind w:firstLine="0" w:firstLineChars="0"/>
              <w:jc w:val="left"/>
              <w:rPr>
                <w:color w:val="auto"/>
              </w:rPr>
            </w:pPr>
            <w:r>
              <w:rPr>
                <w:rFonts w:hint="eastAsia"/>
                <w:color w:val="auto"/>
              </w:rPr>
              <w:drawing>
                <wp:inline distT="0" distB="0" distL="114300" distR="114300">
                  <wp:extent cx="3041650" cy="1835785"/>
                  <wp:effectExtent l="0" t="0" r="2540" b="10160"/>
                  <wp:docPr id="43" name="图片 43" descr="44414fb529dcc7abe8fe1f29f5e259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44414fb529dcc7abe8fe1f29f5e259d6"/>
                          <pic:cNvPicPr>
                            <a:picLocks noChangeAspect="1"/>
                          </pic:cNvPicPr>
                        </pic:nvPicPr>
                        <pic:blipFill>
                          <a:blip r:embed="rId31"/>
                          <a:stretch>
                            <a:fillRect/>
                          </a:stretch>
                        </pic:blipFill>
                        <pic:spPr>
                          <a:xfrm>
                            <a:off x="0" y="0"/>
                            <a:ext cx="3041650" cy="1835785"/>
                          </a:xfrm>
                          <a:prstGeom prst="rect">
                            <a:avLst/>
                          </a:prstGeom>
                        </pic:spPr>
                      </pic:pic>
                    </a:graphicData>
                  </a:graphic>
                </wp:inline>
              </w:drawing>
            </w:r>
            <w:r>
              <w:rPr>
                <w:rFonts w:hint="eastAsia"/>
                <w:color w:val="auto"/>
              </w:rPr>
              <w:t xml:space="preserve"> </w:t>
            </w:r>
            <w:r>
              <w:rPr>
                <w:color w:val="auto"/>
              </w:rPr>
              <w:drawing>
                <wp:inline distT="0" distB="0" distL="114300" distR="114300">
                  <wp:extent cx="2092325" cy="2052955"/>
                  <wp:effectExtent l="0" t="0" r="1905" b="8890"/>
                  <wp:docPr id="44" name="图片 44" descr="b69a76b323172a9d3f1018ff8f8592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b69a76b323172a9d3f1018ff8f85926c"/>
                          <pic:cNvPicPr>
                            <a:picLocks noChangeAspect="1"/>
                          </pic:cNvPicPr>
                        </pic:nvPicPr>
                        <pic:blipFill>
                          <a:blip r:embed="rId32"/>
                          <a:srcRect/>
                          <a:stretch>
                            <a:fillRect/>
                          </a:stretch>
                        </pic:blipFill>
                        <pic:spPr>
                          <a:xfrm>
                            <a:off x="0" y="0"/>
                            <a:ext cx="2092325" cy="2052955"/>
                          </a:xfrm>
                          <a:prstGeom prst="rect">
                            <a:avLst/>
                          </a:prstGeom>
                        </pic:spPr>
                      </pic:pic>
                    </a:graphicData>
                  </a:graphic>
                </wp:inline>
              </w:drawing>
            </w:r>
          </w:p>
          <w:p>
            <w:pPr>
              <w:ind w:firstLine="0" w:firstLineChars="0"/>
              <w:jc w:val="center"/>
              <w:rPr>
                <w:color w:val="auto"/>
              </w:rPr>
            </w:pPr>
            <w:r>
              <w:rPr>
                <w:rFonts w:hint="eastAsia"/>
                <w:color w:val="auto"/>
              </w:rPr>
              <w:t>静电油烟净化器及排气筒3</w:t>
            </w:r>
          </w:p>
        </w:tc>
      </w:tr>
    </w:tbl>
    <w:p>
      <w:pPr>
        <w:ind w:firstLine="480"/>
        <w:rPr>
          <w:color w:val="auto"/>
        </w:rPr>
      </w:pPr>
    </w:p>
    <w:p>
      <w:pPr>
        <w:ind w:firstLine="480"/>
        <w:rPr>
          <w:color w:val="auto"/>
        </w:rPr>
        <w:sectPr>
          <w:pgSz w:w="11906" w:h="16838"/>
          <w:pgMar w:top="1440" w:right="1800" w:bottom="1440" w:left="1800" w:header="851" w:footer="992" w:gutter="0"/>
          <w:cols w:space="425" w:num="1"/>
          <w:docGrid w:type="lines" w:linePitch="312" w:charSpace="0"/>
        </w:sectPr>
      </w:pPr>
    </w:p>
    <w:p>
      <w:pPr>
        <w:pStyle w:val="4"/>
        <w:rPr>
          <w:color w:val="auto"/>
        </w:rPr>
      </w:pPr>
      <w:bookmarkStart w:id="41" w:name="_Toc156491644"/>
      <w:bookmarkStart w:id="42" w:name="_Toc15280"/>
      <w:bookmarkStart w:id="43" w:name="_Toc164292271"/>
      <w:r>
        <w:rPr>
          <w:rFonts w:hint="eastAsia"/>
          <w:color w:val="auto"/>
        </w:rPr>
        <w:t>噪声</w:t>
      </w:r>
      <w:bookmarkEnd w:id="41"/>
      <w:bookmarkEnd w:id="42"/>
      <w:bookmarkEnd w:id="43"/>
    </w:p>
    <w:p>
      <w:pPr>
        <w:ind w:firstLine="480"/>
        <w:rPr>
          <w:color w:val="auto"/>
        </w:rPr>
      </w:pPr>
      <w:r>
        <w:rPr>
          <w:rFonts w:hint="eastAsia"/>
          <w:color w:val="auto"/>
        </w:rPr>
        <w:t>本项目噪声主要来源于剪板机、冲床、手磨机等各种机械设备运行产生机械噪声，声源强度60-85dB(A)之间。通过对设备进行合理布局、选用低噪声设备、安装减振垫、设置隔音门等有效隔音降噪措施，同时加强设备日常维护保养等措施降低噪声。</w:t>
      </w:r>
    </w:p>
    <w:p>
      <w:pPr>
        <w:pStyle w:val="4"/>
        <w:rPr>
          <w:color w:val="auto"/>
        </w:rPr>
      </w:pPr>
      <w:bookmarkStart w:id="44" w:name="_Toc972"/>
      <w:bookmarkStart w:id="45" w:name="_Toc164292272"/>
      <w:bookmarkStart w:id="46" w:name="_Toc156491645"/>
      <w:r>
        <w:rPr>
          <w:rFonts w:hint="eastAsia"/>
          <w:color w:val="auto"/>
        </w:rPr>
        <w:t>固体废物</w:t>
      </w:r>
      <w:bookmarkEnd w:id="44"/>
      <w:bookmarkEnd w:id="45"/>
      <w:bookmarkEnd w:id="46"/>
    </w:p>
    <w:p>
      <w:pPr>
        <w:adjustRightInd w:val="0"/>
        <w:snapToGrid w:val="0"/>
        <w:ind w:firstLine="480"/>
        <w:rPr>
          <w:color w:val="auto"/>
          <w:szCs w:val="24"/>
        </w:rPr>
      </w:pPr>
      <w:r>
        <w:rPr>
          <w:rFonts w:hint="eastAsia"/>
          <w:color w:val="auto"/>
          <w:szCs w:val="24"/>
        </w:rPr>
        <w:t>本项目固废产生和处置情况见下表4.1-5。</w:t>
      </w:r>
    </w:p>
    <w:p>
      <w:pPr>
        <w:spacing w:line="240" w:lineRule="auto"/>
        <w:ind w:firstLine="422"/>
        <w:jc w:val="center"/>
        <w:rPr>
          <w:b/>
          <w:color w:val="auto"/>
          <w:sz w:val="21"/>
          <w:szCs w:val="21"/>
        </w:rPr>
      </w:pPr>
      <w:r>
        <w:rPr>
          <w:b/>
          <w:color w:val="auto"/>
          <w:sz w:val="21"/>
          <w:szCs w:val="21"/>
        </w:rPr>
        <w:t>表4</w:t>
      </w:r>
      <w:r>
        <w:rPr>
          <w:rFonts w:hint="eastAsia"/>
          <w:b/>
          <w:color w:val="auto"/>
          <w:sz w:val="21"/>
          <w:szCs w:val="21"/>
        </w:rPr>
        <w:t>.1</w:t>
      </w:r>
      <w:r>
        <w:rPr>
          <w:b/>
          <w:color w:val="auto"/>
          <w:sz w:val="21"/>
          <w:szCs w:val="21"/>
        </w:rPr>
        <w:t>-</w:t>
      </w:r>
      <w:r>
        <w:rPr>
          <w:rFonts w:hint="eastAsia"/>
          <w:b/>
          <w:color w:val="auto"/>
          <w:sz w:val="21"/>
          <w:szCs w:val="21"/>
        </w:rPr>
        <w:t>5</w:t>
      </w:r>
      <w:r>
        <w:rPr>
          <w:b/>
          <w:color w:val="auto"/>
          <w:sz w:val="21"/>
          <w:szCs w:val="21"/>
        </w:rPr>
        <w:t>项目固体废物产排情况一览表</w:t>
      </w:r>
    </w:p>
    <w:tbl>
      <w:tblPr>
        <w:tblStyle w:val="24"/>
        <w:tblW w:w="8522"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911"/>
        <w:gridCol w:w="3254"/>
        <w:gridCol w:w="1773"/>
        <w:gridCol w:w="1292"/>
        <w:gridCol w:w="129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634" w:hRule="atLeast"/>
        </w:trPr>
        <w:tc>
          <w:tcPr>
            <w:tcW w:w="911" w:type="dxa"/>
            <w:tcBorders>
              <w:top w:val="single" w:color="000000" w:sz="4" w:space="0"/>
              <w:left w:val="single" w:color="000000" w:sz="4" w:space="0"/>
              <w:bottom w:val="single" w:color="000000" w:sz="4" w:space="0"/>
              <w:right w:val="single" w:color="000000" w:sz="4" w:space="0"/>
            </w:tcBorders>
            <w:vAlign w:val="center"/>
          </w:tcPr>
          <w:p>
            <w:pPr>
              <w:snapToGrid w:val="0"/>
              <w:spacing w:line="240" w:lineRule="auto"/>
              <w:ind w:firstLine="0" w:firstLineChars="0"/>
              <w:rPr>
                <w:rFonts w:cs="Times New Roman"/>
                <w:b/>
                <w:color w:val="auto"/>
                <w:sz w:val="21"/>
                <w:szCs w:val="21"/>
              </w:rPr>
            </w:pPr>
            <w:r>
              <w:rPr>
                <w:rFonts w:ascii="宋体" w:hAnsi="宋体" w:cs="Times New Roman"/>
                <w:b/>
                <w:color w:val="auto"/>
                <w:sz w:val="21"/>
                <w:szCs w:val="21"/>
              </w:rPr>
              <w:t>废物类别</w:t>
            </w:r>
          </w:p>
        </w:tc>
        <w:tc>
          <w:tcPr>
            <w:tcW w:w="3254" w:type="dxa"/>
            <w:tcBorders>
              <w:top w:val="single" w:color="000000" w:sz="4" w:space="0"/>
              <w:left w:val="single" w:color="000000" w:sz="4" w:space="0"/>
              <w:bottom w:val="single" w:color="000000" w:sz="4" w:space="0"/>
              <w:right w:val="single" w:color="000000" w:sz="4" w:space="0"/>
            </w:tcBorders>
            <w:vAlign w:val="center"/>
          </w:tcPr>
          <w:p>
            <w:pPr>
              <w:snapToGrid w:val="0"/>
              <w:spacing w:line="240" w:lineRule="auto"/>
              <w:ind w:firstLine="0" w:firstLineChars="0"/>
              <w:jc w:val="center"/>
              <w:rPr>
                <w:rFonts w:cs="Times New Roman"/>
                <w:b/>
                <w:color w:val="auto"/>
                <w:sz w:val="21"/>
                <w:szCs w:val="21"/>
              </w:rPr>
            </w:pPr>
            <w:r>
              <w:rPr>
                <w:rFonts w:ascii="宋体" w:hAnsi="宋体" w:cs="Times New Roman"/>
                <w:b/>
                <w:color w:val="auto"/>
                <w:sz w:val="21"/>
                <w:szCs w:val="21"/>
              </w:rPr>
              <w:t>污染物名称</w:t>
            </w:r>
          </w:p>
        </w:tc>
        <w:tc>
          <w:tcPr>
            <w:tcW w:w="1773" w:type="dxa"/>
            <w:tcBorders>
              <w:top w:val="single" w:color="000000" w:sz="4" w:space="0"/>
              <w:left w:val="single" w:color="000000" w:sz="4" w:space="0"/>
              <w:bottom w:val="single" w:color="000000" w:sz="4" w:space="0"/>
              <w:right w:val="single" w:color="000000" w:sz="4" w:space="0"/>
            </w:tcBorders>
            <w:vAlign w:val="center"/>
          </w:tcPr>
          <w:p>
            <w:pPr>
              <w:snapToGrid w:val="0"/>
              <w:spacing w:line="240" w:lineRule="auto"/>
              <w:ind w:firstLine="0" w:firstLineChars="0"/>
              <w:jc w:val="center"/>
              <w:rPr>
                <w:rFonts w:cs="Times New Roman"/>
                <w:b/>
                <w:color w:val="auto"/>
                <w:sz w:val="21"/>
                <w:szCs w:val="21"/>
              </w:rPr>
            </w:pPr>
            <w:r>
              <w:rPr>
                <w:rFonts w:hint="eastAsia" w:ascii="宋体" w:hAnsi="宋体" w:cs="Times New Roman"/>
                <w:b/>
                <w:color w:val="auto"/>
                <w:sz w:val="21"/>
                <w:szCs w:val="21"/>
              </w:rPr>
              <w:t>废物代码</w:t>
            </w:r>
          </w:p>
        </w:tc>
        <w:tc>
          <w:tcPr>
            <w:tcW w:w="1292" w:type="dxa"/>
            <w:tcBorders>
              <w:top w:val="single" w:color="000000" w:sz="4" w:space="0"/>
              <w:left w:val="single" w:color="000000" w:sz="4" w:space="0"/>
              <w:bottom w:val="single" w:color="000000" w:sz="4" w:space="0"/>
              <w:right w:val="single" w:color="000000" w:sz="4" w:space="0"/>
            </w:tcBorders>
            <w:vAlign w:val="center"/>
          </w:tcPr>
          <w:p>
            <w:pPr>
              <w:snapToGrid w:val="0"/>
              <w:spacing w:line="240" w:lineRule="auto"/>
              <w:ind w:firstLine="0" w:firstLineChars="0"/>
              <w:jc w:val="center"/>
              <w:rPr>
                <w:rFonts w:cs="Times New Roman"/>
                <w:b/>
                <w:color w:val="auto"/>
                <w:sz w:val="21"/>
                <w:szCs w:val="21"/>
              </w:rPr>
            </w:pPr>
            <w:r>
              <w:rPr>
                <w:rFonts w:ascii="宋体" w:hAnsi="宋体" w:cs="Times New Roman"/>
                <w:b/>
                <w:color w:val="auto"/>
                <w:sz w:val="21"/>
                <w:szCs w:val="21"/>
              </w:rPr>
              <w:t>产生量（</w:t>
            </w:r>
            <w:r>
              <w:rPr>
                <w:rFonts w:cs="Times New Roman"/>
                <w:b/>
                <w:color w:val="auto"/>
                <w:sz w:val="21"/>
                <w:szCs w:val="21"/>
              </w:rPr>
              <w:t>t/a</w:t>
            </w:r>
            <w:r>
              <w:rPr>
                <w:rFonts w:ascii="宋体" w:hAnsi="宋体" w:cs="Times New Roman"/>
                <w:b/>
                <w:color w:val="auto"/>
                <w:sz w:val="21"/>
                <w:szCs w:val="21"/>
              </w:rPr>
              <w:t>）</w:t>
            </w:r>
          </w:p>
        </w:tc>
        <w:tc>
          <w:tcPr>
            <w:tcW w:w="1292" w:type="dxa"/>
            <w:tcBorders>
              <w:top w:val="single" w:color="000000" w:sz="4" w:space="0"/>
              <w:left w:val="single" w:color="000000" w:sz="4" w:space="0"/>
              <w:right w:val="single" w:color="000000" w:sz="4" w:space="0"/>
            </w:tcBorders>
          </w:tcPr>
          <w:p>
            <w:pPr>
              <w:snapToGrid w:val="0"/>
              <w:spacing w:line="240" w:lineRule="auto"/>
              <w:ind w:firstLine="0" w:firstLineChars="0"/>
              <w:jc w:val="center"/>
              <w:rPr>
                <w:rFonts w:hint="eastAsia" w:ascii="宋体" w:hAnsi="宋体" w:cs="Times New Roman"/>
                <w:b/>
                <w:color w:val="auto"/>
                <w:sz w:val="21"/>
                <w:szCs w:val="21"/>
              </w:rPr>
            </w:pPr>
            <w:r>
              <w:rPr>
                <w:rFonts w:hint="eastAsia" w:ascii="宋体" w:hAnsi="宋体" w:cs="Times New Roman"/>
                <w:b/>
                <w:color w:val="auto"/>
                <w:sz w:val="21"/>
                <w:szCs w:val="21"/>
              </w:rPr>
              <w:t>处置方法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trPr>
        <w:tc>
          <w:tcPr>
            <w:tcW w:w="911" w:type="dxa"/>
            <w:tcBorders>
              <w:top w:val="single" w:color="000000" w:sz="4" w:space="0"/>
              <w:left w:val="single" w:color="000000" w:sz="4" w:space="0"/>
              <w:bottom w:val="single" w:color="000000" w:sz="4" w:space="0"/>
              <w:right w:val="single" w:color="000000" w:sz="4" w:space="0"/>
            </w:tcBorders>
            <w:vAlign w:val="center"/>
          </w:tcPr>
          <w:p>
            <w:pPr>
              <w:snapToGrid w:val="0"/>
              <w:spacing w:line="240" w:lineRule="auto"/>
              <w:ind w:firstLine="0" w:firstLineChars="0"/>
              <w:jc w:val="center"/>
              <w:rPr>
                <w:rFonts w:hint="eastAsia" w:ascii="宋体" w:hAnsi="宋体" w:cs="Times New Roman"/>
                <w:b/>
                <w:color w:val="auto"/>
                <w:sz w:val="21"/>
                <w:szCs w:val="21"/>
              </w:rPr>
            </w:pPr>
            <w:r>
              <w:rPr>
                <w:rFonts w:hint="eastAsia" w:cs="Times New Roman"/>
                <w:b/>
                <w:color w:val="auto"/>
                <w:sz w:val="21"/>
                <w:szCs w:val="21"/>
              </w:rPr>
              <w:t>/</w:t>
            </w:r>
          </w:p>
        </w:tc>
        <w:tc>
          <w:tcPr>
            <w:tcW w:w="3254" w:type="dxa"/>
            <w:tcBorders>
              <w:top w:val="single" w:color="000000" w:sz="4" w:space="0"/>
              <w:left w:val="single" w:color="000000" w:sz="4" w:space="0"/>
              <w:bottom w:val="single" w:color="000000" w:sz="4" w:space="0"/>
              <w:right w:val="single" w:color="000000" w:sz="4" w:space="0"/>
            </w:tcBorders>
            <w:vAlign w:val="center"/>
          </w:tcPr>
          <w:p>
            <w:pPr>
              <w:widowControl/>
              <w:snapToGrid w:val="0"/>
              <w:spacing w:line="240" w:lineRule="auto"/>
              <w:ind w:firstLine="0" w:firstLineChars="0"/>
              <w:jc w:val="center"/>
              <w:textAlignment w:val="center"/>
              <w:rPr>
                <w:rFonts w:hint="eastAsia" w:ascii="宋体" w:hAnsi="宋体" w:cs="Times New Roman"/>
                <w:color w:val="auto"/>
                <w:sz w:val="21"/>
                <w:szCs w:val="21"/>
              </w:rPr>
            </w:pPr>
            <w:r>
              <w:rPr>
                <w:rFonts w:hint="eastAsia" w:ascii="宋体" w:hAnsi="宋体" w:cs="Times New Roman"/>
                <w:color w:val="auto"/>
                <w:sz w:val="21"/>
                <w:szCs w:val="21"/>
              </w:rPr>
              <w:t>生活垃圾</w:t>
            </w:r>
          </w:p>
        </w:tc>
        <w:tc>
          <w:tcPr>
            <w:tcW w:w="1773" w:type="dxa"/>
            <w:tcBorders>
              <w:top w:val="single" w:color="000000" w:sz="4" w:space="0"/>
              <w:left w:val="single" w:color="000000" w:sz="4" w:space="0"/>
              <w:bottom w:val="single" w:color="000000" w:sz="4" w:space="0"/>
              <w:right w:val="single" w:color="000000" w:sz="4" w:space="0"/>
            </w:tcBorders>
            <w:vAlign w:val="center"/>
          </w:tcPr>
          <w:p>
            <w:pPr>
              <w:snapToGrid w:val="0"/>
              <w:spacing w:line="240" w:lineRule="auto"/>
              <w:ind w:firstLine="0" w:firstLineChars="0"/>
              <w:jc w:val="center"/>
              <w:rPr>
                <w:rFonts w:hint="eastAsia" w:ascii="宋体" w:hAnsi="宋体" w:cs="Times New Roman"/>
                <w:bCs/>
                <w:color w:val="auto"/>
                <w:sz w:val="21"/>
                <w:szCs w:val="21"/>
              </w:rPr>
            </w:pPr>
            <w:r>
              <w:rPr>
                <w:rFonts w:hint="eastAsia" w:cs="Times New Roman"/>
                <w:bCs/>
                <w:color w:val="auto"/>
                <w:sz w:val="21"/>
                <w:szCs w:val="21"/>
              </w:rPr>
              <w:t>/</w:t>
            </w:r>
          </w:p>
        </w:tc>
        <w:tc>
          <w:tcPr>
            <w:tcW w:w="1292"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textAlignment w:val="center"/>
              <w:rPr>
                <w:rFonts w:cs="Times New Roman"/>
                <w:color w:val="auto"/>
                <w:kern w:val="0"/>
                <w:sz w:val="21"/>
                <w:szCs w:val="21"/>
              </w:rPr>
            </w:pPr>
            <w:r>
              <w:rPr>
                <w:rFonts w:cs="Times New Roman"/>
                <w:color w:val="auto"/>
                <w:kern w:val="0"/>
                <w:sz w:val="21"/>
                <w:szCs w:val="21"/>
              </w:rPr>
              <w:t>7.</w:t>
            </w:r>
            <w:r>
              <w:rPr>
                <w:rFonts w:hint="eastAsia" w:cs="Times New Roman"/>
                <w:color w:val="auto"/>
                <w:kern w:val="0"/>
                <w:sz w:val="21"/>
                <w:szCs w:val="21"/>
              </w:rPr>
              <w:t>0</w:t>
            </w:r>
            <w:r>
              <w:rPr>
                <w:rFonts w:cs="Times New Roman"/>
                <w:color w:val="auto"/>
                <w:kern w:val="0"/>
                <w:sz w:val="21"/>
                <w:szCs w:val="21"/>
              </w:rPr>
              <w:t>5</w:t>
            </w:r>
          </w:p>
        </w:tc>
        <w:tc>
          <w:tcPr>
            <w:tcW w:w="1292"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textAlignment w:val="center"/>
              <w:rPr>
                <w:rFonts w:cs="Times New Roman"/>
                <w:color w:val="auto"/>
                <w:kern w:val="0"/>
                <w:sz w:val="21"/>
                <w:szCs w:val="21"/>
              </w:rPr>
            </w:pPr>
            <w:r>
              <w:rPr>
                <w:rFonts w:cs="Times New Roman"/>
                <w:bCs/>
                <w:color w:val="auto"/>
                <w:sz w:val="21"/>
                <w:szCs w:val="21"/>
              </w:rPr>
              <w:t>交由环卫部门清运</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trPr>
        <w:tc>
          <w:tcPr>
            <w:tcW w:w="911" w:type="dxa"/>
            <w:vMerge w:val="restart"/>
            <w:tcBorders>
              <w:top w:val="nil"/>
              <w:left w:val="single" w:color="000000" w:sz="4" w:space="0"/>
              <w:bottom w:val="single" w:color="000000" w:sz="4" w:space="0"/>
              <w:right w:val="single" w:color="000000" w:sz="4" w:space="0"/>
            </w:tcBorders>
            <w:vAlign w:val="center"/>
          </w:tcPr>
          <w:p>
            <w:pPr>
              <w:snapToGrid w:val="0"/>
              <w:spacing w:line="240" w:lineRule="auto"/>
              <w:ind w:firstLine="0" w:firstLineChars="0"/>
              <w:jc w:val="center"/>
              <w:rPr>
                <w:rFonts w:cs="Times New Roman"/>
                <w:color w:val="auto"/>
                <w:sz w:val="21"/>
                <w:szCs w:val="21"/>
              </w:rPr>
            </w:pPr>
            <w:r>
              <w:rPr>
                <w:rFonts w:ascii="宋体" w:hAnsi="宋体" w:cs="Times New Roman"/>
                <w:color w:val="auto"/>
                <w:sz w:val="21"/>
                <w:szCs w:val="21"/>
              </w:rPr>
              <w:t>一般</w:t>
            </w:r>
            <w:r>
              <w:rPr>
                <w:rFonts w:hint="eastAsia" w:ascii="宋体" w:hAnsi="宋体" w:cs="Times New Roman"/>
                <w:color w:val="auto"/>
                <w:sz w:val="21"/>
                <w:szCs w:val="21"/>
              </w:rPr>
              <w:t>工业固废</w:t>
            </w:r>
          </w:p>
        </w:tc>
        <w:tc>
          <w:tcPr>
            <w:tcW w:w="3254" w:type="dxa"/>
            <w:tcBorders>
              <w:top w:val="single" w:color="000000" w:sz="4" w:space="0"/>
              <w:left w:val="single" w:color="000000" w:sz="4" w:space="0"/>
              <w:bottom w:val="single" w:color="000000" w:sz="4" w:space="0"/>
              <w:right w:val="single" w:color="000000" w:sz="4" w:space="0"/>
            </w:tcBorders>
            <w:vAlign w:val="center"/>
          </w:tcPr>
          <w:p>
            <w:pPr>
              <w:widowControl/>
              <w:snapToGrid w:val="0"/>
              <w:spacing w:line="240" w:lineRule="auto"/>
              <w:ind w:firstLine="0" w:firstLineChars="0"/>
              <w:jc w:val="center"/>
              <w:textAlignment w:val="center"/>
              <w:rPr>
                <w:rFonts w:cs="Times New Roman"/>
                <w:color w:val="auto"/>
                <w:sz w:val="21"/>
                <w:szCs w:val="21"/>
              </w:rPr>
            </w:pPr>
            <w:r>
              <w:rPr>
                <w:rFonts w:hint="eastAsia" w:ascii="宋体" w:hAnsi="宋体" w:cs="Times New Roman"/>
                <w:color w:val="auto"/>
                <w:sz w:val="21"/>
                <w:szCs w:val="21"/>
              </w:rPr>
              <w:t>一般废包装材料</w:t>
            </w:r>
          </w:p>
        </w:tc>
        <w:tc>
          <w:tcPr>
            <w:tcW w:w="1773" w:type="dxa"/>
            <w:tcBorders>
              <w:top w:val="single" w:color="000000" w:sz="4" w:space="0"/>
              <w:left w:val="single" w:color="000000" w:sz="4" w:space="0"/>
              <w:bottom w:val="single" w:color="000000" w:sz="4" w:space="0"/>
              <w:right w:val="single" w:color="000000" w:sz="4" w:space="0"/>
            </w:tcBorders>
            <w:vAlign w:val="center"/>
          </w:tcPr>
          <w:p>
            <w:pPr>
              <w:widowControl/>
              <w:snapToGrid w:val="0"/>
              <w:spacing w:line="240" w:lineRule="auto"/>
              <w:ind w:firstLine="0" w:firstLineChars="0"/>
              <w:jc w:val="center"/>
              <w:textAlignment w:val="center"/>
              <w:rPr>
                <w:rFonts w:hint="eastAsia" w:ascii="宋体" w:hAnsi="宋体" w:cs="Times New Roman"/>
                <w:color w:val="auto"/>
                <w:sz w:val="21"/>
                <w:szCs w:val="21"/>
              </w:rPr>
            </w:pPr>
            <w:r>
              <w:rPr>
                <w:rFonts w:hint="eastAsia" w:cs="Times New Roman"/>
                <w:color w:val="auto"/>
                <w:sz w:val="21"/>
                <w:szCs w:val="21"/>
              </w:rPr>
              <w:t>900-003-S17</w:t>
            </w:r>
          </w:p>
        </w:tc>
        <w:tc>
          <w:tcPr>
            <w:tcW w:w="1292"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textAlignment w:val="center"/>
              <w:rPr>
                <w:rFonts w:cs="Times New Roman"/>
                <w:color w:val="auto"/>
                <w:kern w:val="0"/>
                <w:sz w:val="21"/>
                <w:szCs w:val="21"/>
              </w:rPr>
            </w:pPr>
            <w:r>
              <w:rPr>
                <w:rFonts w:hint="eastAsia" w:cs="Times New Roman"/>
                <w:color w:val="auto"/>
                <w:kern w:val="0"/>
                <w:sz w:val="21"/>
                <w:szCs w:val="21"/>
              </w:rPr>
              <w:t>2</w:t>
            </w:r>
          </w:p>
        </w:tc>
        <w:tc>
          <w:tcPr>
            <w:tcW w:w="1292" w:type="dxa"/>
            <w:vMerge w:val="restart"/>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textAlignment w:val="center"/>
              <w:rPr>
                <w:rFonts w:cs="Times New Roman"/>
                <w:color w:val="auto"/>
                <w:kern w:val="0"/>
                <w:sz w:val="21"/>
                <w:szCs w:val="21"/>
              </w:rPr>
            </w:pPr>
            <w:r>
              <w:rPr>
                <w:rFonts w:cs="Times New Roman"/>
                <w:color w:val="auto"/>
                <w:sz w:val="21"/>
                <w:szCs w:val="21"/>
              </w:rPr>
              <w:t>暂存于一般固废间，定期交由</w:t>
            </w:r>
            <w:r>
              <w:rPr>
                <w:rFonts w:cs="Times New Roman"/>
                <w:bCs/>
                <w:color w:val="auto"/>
                <w:sz w:val="21"/>
                <w:szCs w:val="21"/>
              </w:rPr>
              <w:t>有处理能力的单位处理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trPr>
        <w:tc>
          <w:tcPr>
            <w:tcW w:w="911" w:type="dxa"/>
            <w:vMerge w:val="continue"/>
            <w:tcBorders>
              <w:top w:val="nil"/>
              <w:left w:val="single" w:color="000000" w:sz="4" w:space="0"/>
              <w:bottom w:val="single" w:color="000000" w:sz="4" w:space="0"/>
              <w:right w:val="single" w:color="000000" w:sz="4" w:space="0"/>
            </w:tcBorders>
            <w:vAlign w:val="center"/>
          </w:tcPr>
          <w:p>
            <w:pPr>
              <w:widowControl/>
              <w:spacing w:line="240" w:lineRule="auto"/>
              <w:ind w:firstLine="0" w:firstLineChars="0"/>
              <w:jc w:val="left"/>
              <w:rPr>
                <w:rFonts w:cs="Times New Roman"/>
                <w:color w:val="auto"/>
                <w:sz w:val="21"/>
                <w:szCs w:val="21"/>
              </w:rPr>
            </w:pPr>
          </w:p>
        </w:tc>
        <w:tc>
          <w:tcPr>
            <w:tcW w:w="3254" w:type="dxa"/>
            <w:tcBorders>
              <w:top w:val="single" w:color="000000" w:sz="4" w:space="0"/>
              <w:left w:val="single" w:color="000000" w:sz="4" w:space="0"/>
              <w:bottom w:val="single" w:color="000000" w:sz="4" w:space="0"/>
              <w:right w:val="single" w:color="000000" w:sz="4" w:space="0"/>
            </w:tcBorders>
            <w:vAlign w:val="center"/>
          </w:tcPr>
          <w:p>
            <w:pPr>
              <w:widowControl/>
              <w:snapToGrid w:val="0"/>
              <w:spacing w:line="240" w:lineRule="auto"/>
              <w:ind w:firstLine="0" w:firstLineChars="0"/>
              <w:jc w:val="center"/>
              <w:textAlignment w:val="center"/>
              <w:rPr>
                <w:rFonts w:hint="eastAsia" w:ascii="宋体" w:hAnsi="宋体" w:cs="Times New Roman"/>
                <w:color w:val="auto"/>
                <w:sz w:val="21"/>
                <w:szCs w:val="21"/>
              </w:rPr>
            </w:pPr>
            <w:r>
              <w:rPr>
                <w:rFonts w:hint="eastAsia" w:ascii="宋体" w:hAnsi="宋体" w:cs="Times New Roman"/>
                <w:color w:val="auto"/>
                <w:sz w:val="21"/>
                <w:szCs w:val="21"/>
              </w:rPr>
              <w:t>金属碎屑和边角料</w:t>
            </w:r>
          </w:p>
        </w:tc>
        <w:tc>
          <w:tcPr>
            <w:tcW w:w="1773" w:type="dxa"/>
            <w:tcBorders>
              <w:top w:val="single" w:color="000000" w:sz="4" w:space="0"/>
              <w:left w:val="single" w:color="000000" w:sz="4" w:space="0"/>
              <w:bottom w:val="single" w:color="000000" w:sz="4" w:space="0"/>
              <w:right w:val="single" w:color="000000" w:sz="4" w:space="0"/>
            </w:tcBorders>
            <w:vAlign w:val="center"/>
          </w:tcPr>
          <w:p>
            <w:pPr>
              <w:widowControl/>
              <w:snapToGrid w:val="0"/>
              <w:spacing w:line="240" w:lineRule="auto"/>
              <w:ind w:firstLine="0" w:firstLineChars="0"/>
              <w:jc w:val="center"/>
              <w:textAlignment w:val="center"/>
              <w:rPr>
                <w:rFonts w:hint="eastAsia" w:ascii="宋体" w:hAnsi="宋体" w:cs="Times New Roman"/>
                <w:color w:val="auto"/>
                <w:sz w:val="21"/>
                <w:szCs w:val="21"/>
              </w:rPr>
            </w:pPr>
            <w:r>
              <w:rPr>
                <w:rFonts w:hint="eastAsia" w:cs="Times New Roman"/>
                <w:color w:val="auto"/>
                <w:sz w:val="21"/>
                <w:szCs w:val="21"/>
              </w:rPr>
              <w:t>900-001-S17</w:t>
            </w:r>
          </w:p>
        </w:tc>
        <w:tc>
          <w:tcPr>
            <w:tcW w:w="1292"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textAlignment w:val="center"/>
              <w:rPr>
                <w:rFonts w:cs="Times New Roman"/>
                <w:color w:val="auto"/>
                <w:kern w:val="0"/>
                <w:sz w:val="21"/>
                <w:szCs w:val="21"/>
              </w:rPr>
            </w:pPr>
            <w:r>
              <w:rPr>
                <w:rFonts w:hint="eastAsia" w:cs="Times New Roman"/>
                <w:color w:val="auto"/>
                <w:kern w:val="0"/>
                <w:sz w:val="21"/>
                <w:szCs w:val="21"/>
              </w:rPr>
              <w:t>5.8</w:t>
            </w:r>
          </w:p>
        </w:tc>
        <w:tc>
          <w:tcPr>
            <w:tcW w:w="1292" w:type="dxa"/>
            <w:vMerge w:val="continue"/>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textAlignment w:val="center"/>
              <w:rPr>
                <w:rFonts w:cs="Times New Roman"/>
                <w:color w:val="auto"/>
                <w:kern w:val="0"/>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trPr>
        <w:tc>
          <w:tcPr>
            <w:tcW w:w="911" w:type="dxa"/>
            <w:vMerge w:val="continue"/>
            <w:tcBorders>
              <w:top w:val="nil"/>
              <w:left w:val="single" w:color="000000" w:sz="4" w:space="0"/>
              <w:bottom w:val="single" w:color="000000" w:sz="4" w:space="0"/>
              <w:right w:val="single" w:color="000000" w:sz="4" w:space="0"/>
            </w:tcBorders>
            <w:vAlign w:val="center"/>
          </w:tcPr>
          <w:p>
            <w:pPr>
              <w:widowControl/>
              <w:spacing w:line="240" w:lineRule="auto"/>
              <w:ind w:firstLine="0" w:firstLineChars="0"/>
              <w:jc w:val="left"/>
              <w:rPr>
                <w:rFonts w:cs="Times New Roman"/>
                <w:color w:val="auto"/>
                <w:sz w:val="21"/>
                <w:szCs w:val="21"/>
              </w:rPr>
            </w:pPr>
          </w:p>
        </w:tc>
        <w:tc>
          <w:tcPr>
            <w:tcW w:w="3254" w:type="dxa"/>
            <w:tcBorders>
              <w:top w:val="single" w:color="000000" w:sz="4" w:space="0"/>
              <w:left w:val="single" w:color="000000" w:sz="4" w:space="0"/>
              <w:bottom w:val="single" w:color="000000" w:sz="4" w:space="0"/>
              <w:right w:val="single" w:color="000000" w:sz="4" w:space="0"/>
            </w:tcBorders>
            <w:vAlign w:val="center"/>
          </w:tcPr>
          <w:p>
            <w:pPr>
              <w:widowControl/>
              <w:snapToGrid w:val="0"/>
              <w:spacing w:line="240" w:lineRule="auto"/>
              <w:ind w:firstLine="0" w:firstLineChars="0"/>
              <w:jc w:val="center"/>
              <w:textAlignment w:val="center"/>
              <w:rPr>
                <w:rFonts w:hint="eastAsia" w:ascii="宋体" w:hAnsi="宋体" w:cs="Times New Roman"/>
                <w:color w:val="auto"/>
                <w:sz w:val="21"/>
                <w:szCs w:val="21"/>
              </w:rPr>
            </w:pPr>
            <w:r>
              <w:rPr>
                <w:rFonts w:hint="eastAsia" w:ascii="宋体" w:hAnsi="宋体" w:cs="Times New Roman"/>
                <w:color w:val="auto"/>
                <w:sz w:val="21"/>
                <w:szCs w:val="21"/>
              </w:rPr>
              <w:t>收集的粉尘</w:t>
            </w:r>
          </w:p>
        </w:tc>
        <w:tc>
          <w:tcPr>
            <w:tcW w:w="1773" w:type="dxa"/>
            <w:tcBorders>
              <w:top w:val="single" w:color="000000" w:sz="4" w:space="0"/>
              <w:left w:val="single" w:color="000000" w:sz="4" w:space="0"/>
              <w:bottom w:val="single" w:color="000000" w:sz="4" w:space="0"/>
              <w:right w:val="single" w:color="000000" w:sz="4" w:space="0"/>
            </w:tcBorders>
            <w:vAlign w:val="center"/>
          </w:tcPr>
          <w:p>
            <w:pPr>
              <w:widowControl/>
              <w:snapToGrid w:val="0"/>
              <w:spacing w:line="240" w:lineRule="auto"/>
              <w:ind w:firstLine="0" w:firstLineChars="0"/>
              <w:jc w:val="center"/>
              <w:textAlignment w:val="center"/>
              <w:rPr>
                <w:rFonts w:hint="eastAsia" w:ascii="宋体" w:hAnsi="宋体" w:cs="Times New Roman"/>
                <w:color w:val="auto"/>
                <w:sz w:val="21"/>
                <w:szCs w:val="21"/>
              </w:rPr>
            </w:pPr>
            <w:r>
              <w:rPr>
                <w:rFonts w:hint="eastAsia" w:cs="Times New Roman"/>
                <w:color w:val="auto"/>
                <w:sz w:val="21"/>
                <w:szCs w:val="21"/>
              </w:rPr>
              <w:t>900-099-S59</w:t>
            </w:r>
          </w:p>
        </w:tc>
        <w:tc>
          <w:tcPr>
            <w:tcW w:w="1292"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textAlignment w:val="center"/>
              <w:rPr>
                <w:rFonts w:hint="eastAsia" w:ascii="宋体" w:hAnsi="宋体" w:cs="Times New Roman"/>
                <w:color w:val="auto"/>
                <w:kern w:val="0"/>
                <w:sz w:val="21"/>
                <w:szCs w:val="21"/>
              </w:rPr>
            </w:pPr>
            <w:r>
              <w:rPr>
                <w:rFonts w:hint="eastAsia" w:cs="Times New Roman"/>
                <w:color w:val="auto"/>
                <w:kern w:val="0"/>
                <w:sz w:val="21"/>
                <w:szCs w:val="21"/>
              </w:rPr>
              <w:t>1.0953</w:t>
            </w:r>
          </w:p>
        </w:tc>
        <w:tc>
          <w:tcPr>
            <w:tcW w:w="1292" w:type="dxa"/>
            <w:vMerge w:val="continue"/>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textAlignment w:val="center"/>
              <w:rPr>
                <w:rFonts w:cs="Times New Roman"/>
                <w:color w:val="auto"/>
                <w:kern w:val="0"/>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trPr>
        <w:tc>
          <w:tcPr>
            <w:tcW w:w="911" w:type="dxa"/>
            <w:vMerge w:val="continue"/>
            <w:tcBorders>
              <w:top w:val="nil"/>
              <w:left w:val="single" w:color="000000" w:sz="4" w:space="0"/>
              <w:bottom w:val="single" w:color="000000" w:sz="4" w:space="0"/>
              <w:right w:val="single" w:color="000000" w:sz="4" w:space="0"/>
            </w:tcBorders>
            <w:vAlign w:val="center"/>
          </w:tcPr>
          <w:p>
            <w:pPr>
              <w:widowControl/>
              <w:spacing w:line="240" w:lineRule="auto"/>
              <w:ind w:firstLine="0" w:firstLineChars="0"/>
              <w:jc w:val="left"/>
              <w:rPr>
                <w:rFonts w:cs="Times New Roman"/>
                <w:color w:val="auto"/>
                <w:sz w:val="21"/>
                <w:szCs w:val="21"/>
              </w:rPr>
            </w:pPr>
          </w:p>
        </w:tc>
        <w:tc>
          <w:tcPr>
            <w:tcW w:w="3254" w:type="dxa"/>
            <w:tcBorders>
              <w:top w:val="single" w:color="000000" w:sz="4" w:space="0"/>
              <w:left w:val="single" w:color="000000" w:sz="4" w:space="0"/>
              <w:bottom w:val="single" w:color="000000" w:sz="4" w:space="0"/>
              <w:right w:val="single" w:color="000000" w:sz="4" w:space="0"/>
            </w:tcBorders>
            <w:vAlign w:val="center"/>
          </w:tcPr>
          <w:p>
            <w:pPr>
              <w:widowControl/>
              <w:snapToGrid w:val="0"/>
              <w:spacing w:line="240" w:lineRule="auto"/>
              <w:ind w:firstLine="0" w:firstLineChars="0"/>
              <w:jc w:val="center"/>
              <w:textAlignment w:val="center"/>
              <w:rPr>
                <w:rFonts w:hint="eastAsia" w:ascii="宋体" w:hAnsi="宋体" w:cs="Times New Roman"/>
                <w:color w:val="auto"/>
                <w:sz w:val="21"/>
                <w:szCs w:val="21"/>
              </w:rPr>
            </w:pPr>
            <w:r>
              <w:rPr>
                <w:rFonts w:hint="eastAsia" w:ascii="宋体" w:hAnsi="宋体" w:cs="Times New Roman"/>
                <w:color w:val="auto"/>
                <w:sz w:val="21"/>
                <w:szCs w:val="21"/>
              </w:rPr>
              <w:t>焊渣</w:t>
            </w:r>
          </w:p>
        </w:tc>
        <w:tc>
          <w:tcPr>
            <w:tcW w:w="1773" w:type="dxa"/>
            <w:tcBorders>
              <w:top w:val="single" w:color="000000" w:sz="4" w:space="0"/>
              <w:left w:val="single" w:color="000000" w:sz="4" w:space="0"/>
              <w:bottom w:val="single" w:color="000000" w:sz="4" w:space="0"/>
              <w:right w:val="single" w:color="000000" w:sz="4" w:space="0"/>
            </w:tcBorders>
            <w:vAlign w:val="center"/>
          </w:tcPr>
          <w:p>
            <w:pPr>
              <w:widowControl/>
              <w:snapToGrid w:val="0"/>
              <w:spacing w:line="240" w:lineRule="auto"/>
              <w:ind w:firstLine="0" w:firstLineChars="0"/>
              <w:jc w:val="center"/>
              <w:textAlignment w:val="center"/>
              <w:rPr>
                <w:rFonts w:hint="eastAsia" w:ascii="宋体" w:hAnsi="宋体" w:cs="Times New Roman"/>
                <w:color w:val="auto"/>
                <w:sz w:val="21"/>
                <w:szCs w:val="21"/>
              </w:rPr>
            </w:pPr>
            <w:r>
              <w:rPr>
                <w:rFonts w:hint="eastAsia" w:cs="Times New Roman"/>
                <w:color w:val="auto"/>
                <w:sz w:val="21"/>
                <w:szCs w:val="21"/>
              </w:rPr>
              <w:t>900-099-S59</w:t>
            </w:r>
          </w:p>
        </w:tc>
        <w:tc>
          <w:tcPr>
            <w:tcW w:w="1292"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textAlignment w:val="center"/>
              <w:rPr>
                <w:rFonts w:cs="Times New Roman"/>
                <w:color w:val="auto"/>
                <w:kern w:val="0"/>
                <w:sz w:val="21"/>
                <w:szCs w:val="21"/>
              </w:rPr>
            </w:pPr>
            <w:r>
              <w:rPr>
                <w:rFonts w:hint="eastAsia" w:cs="Times New Roman"/>
                <w:color w:val="auto"/>
                <w:kern w:val="0"/>
                <w:sz w:val="21"/>
                <w:szCs w:val="21"/>
              </w:rPr>
              <w:t>2.34</w:t>
            </w:r>
          </w:p>
        </w:tc>
        <w:tc>
          <w:tcPr>
            <w:tcW w:w="1292" w:type="dxa"/>
            <w:vMerge w:val="continue"/>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textAlignment w:val="center"/>
              <w:rPr>
                <w:rFonts w:cs="Times New Roman"/>
                <w:color w:val="auto"/>
                <w:kern w:val="0"/>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trPr>
        <w:tc>
          <w:tcPr>
            <w:tcW w:w="911" w:type="dxa"/>
            <w:vMerge w:val="continue"/>
            <w:tcBorders>
              <w:top w:val="nil"/>
              <w:left w:val="single" w:color="000000" w:sz="4" w:space="0"/>
              <w:bottom w:val="single" w:color="000000" w:sz="4" w:space="0"/>
              <w:right w:val="single" w:color="000000" w:sz="4" w:space="0"/>
            </w:tcBorders>
            <w:vAlign w:val="center"/>
          </w:tcPr>
          <w:p>
            <w:pPr>
              <w:widowControl/>
              <w:spacing w:line="240" w:lineRule="auto"/>
              <w:ind w:firstLine="0" w:firstLineChars="0"/>
              <w:jc w:val="left"/>
              <w:rPr>
                <w:rFonts w:cs="Times New Roman"/>
                <w:color w:val="auto"/>
                <w:sz w:val="21"/>
                <w:szCs w:val="21"/>
              </w:rPr>
            </w:pPr>
          </w:p>
        </w:tc>
        <w:tc>
          <w:tcPr>
            <w:tcW w:w="3254" w:type="dxa"/>
            <w:tcBorders>
              <w:top w:val="single" w:color="000000" w:sz="4" w:space="0"/>
              <w:left w:val="single" w:color="000000" w:sz="4" w:space="0"/>
              <w:bottom w:val="single" w:color="000000" w:sz="4" w:space="0"/>
              <w:right w:val="single" w:color="000000" w:sz="4" w:space="0"/>
            </w:tcBorders>
            <w:vAlign w:val="center"/>
          </w:tcPr>
          <w:p>
            <w:pPr>
              <w:widowControl/>
              <w:snapToGrid w:val="0"/>
              <w:spacing w:line="240" w:lineRule="auto"/>
              <w:ind w:firstLine="0" w:firstLineChars="0"/>
              <w:jc w:val="center"/>
              <w:textAlignment w:val="center"/>
              <w:rPr>
                <w:rFonts w:cs="Times New Roman"/>
                <w:color w:val="auto"/>
                <w:sz w:val="21"/>
                <w:szCs w:val="21"/>
              </w:rPr>
            </w:pPr>
            <w:r>
              <w:rPr>
                <w:rFonts w:hint="eastAsia" w:ascii="宋体" w:hAnsi="宋体" w:cs="Times New Roman"/>
                <w:color w:val="auto"/>
                <w:sz w:val="21"/>
                <w:szCs w:val="21"/>
              </w:rPr>
              <w:t>废滤筒及废布袋</w:t>
            </w:r>
          </w:p>
        </w:tc>
        <w:tc>
          <w:tcPr>
            <w:tcW w:w="1773" w:type="dxa"/>
            <w:tcBorders>
              <w:top w:val="single" w:color="000000" w:sz="4" w:space="0"/>
              <w:left w:val="single" w:color="000000" w:sz="4" w:space="0"/>
              <w:bottom w:val="single" w:color="000000" w:sz="4" w:space="0"/>
              <w:right w:val="single" w:color="000000" w:sz="4" w:space="0"/>
            </w:tcBorders>
            <w:vAlign w:val="center"/>
          </w:tcPr>
          <w:p>
            <w:pPr>
              <w:widowControl/>
              <w:snapToGrid w:val="0"/>
              <w:spacing w:line="240" w:lineRule="auto"/>
              <w:ind w:firstLine="0" w:firstLineChars="0"/>
              <w:jc w:val="center"/>
              <w:textAlignment w:val="center"/>
              <w:rPr>
                <w:rFonts w:hint="eastAsia" w:ascii="宋体" w:hAnsi="宋体" w:cs="Times New Roman"/>
                <w:color w:val="auto"/>
                <w:sz w:val="21"/>
                <w:szCs w:val="21"/>
              </w:rPr>
            </w:pPr>
            <w:r>
              <w:rPr>
                <w:rFonts w:hint="eastAsia" w:cs="Times New Roman"/>
                <w:color w:val="auto"/>
                <w:sz w:val="21"/>
                <w:szCs w:val="21"/>
              </w:rPr>
              <w:t>900-009-S59</w:t>
            </w:r>
          </w:p>
        </w:tc>
        <w:tc>
          <w:tcPr>
            <w:tcW w:w="1292"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textAlignment w:val="center"/>
              <w:rPr>
                <w:rFonts w:cs="Times New Roman"/>
                <w:color w:val="auto"/>
                <w:kern w:val="0"/>
                <w:sz w:val="21"/>
                <w:szCs w:val="21"/>
              </w:rPr>
            </w:pPr>
            <w:r>
              <w:rPr>
                <w:rFonts w:hint="eastAsia" w:cs="Times New Roman"/>
                <w:color w:val="auto"/>
                <w:kern w:val="0"/>
                <w:sz w:val="21"/>
                <w:szCs w:val="21"/>
              </w:rPr>
              <w:t>0.5</w:t>
            </w:r>
          </w:p>
        </w:tc>
        <w:tc>
          <w:tcPr>
            <w:tcW w:w="1292" w:type="dxa"/>
            <w:vMerge w:val="continue"/>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textAlignment w:val="center"/>
              <w:rPr>
                <w:rFonts w:cs="Times New Roman"/>
                <w:color w:val="auto"/>
                <w:kern w:val="0"/>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trPr>
        <w:tc>
          <w:tcPr>
            <w:tcW w:w="911" w:type="dxa"/>
            <w:vMerge w:val="restart"/>
            <w:tcBorders>
              <w:top w:val="nil"/>
              <w:left w:val="single" w:color="000000" w:sz="4" w:space="0"/>
              <w:bottom w:val="single" w:color="000000" w:sz="4" w:space="0"/>
              <w:right w:val="single" w:color="000000" w:sz="4" w:space="0"/>
            </w:tcBorders>
            <w:vAlign w:val="center"/>
          </w:tcPr>
          <w:p>
            <w:pPr>
              <w:snapToGrid w:val="0"/>
              <w:spacing w:line="240" w:lineRule="auto"/>
              <w:ind w:firstLine="0" w:firstLineChars="0"/>
              <w:jc w:val="center"/>
              <w:rPr>
                <w:rFonts w:cs="Times New Roman"/>
                <w:color w:val="auto"/>
                <w:sz w:val="21"/>
                <w:szCs w:val="21"/>
              </w:rPr>
            </w:pPr>
            <w:r>
              <w:rPr>
                <w:rFonts w:hint="eastAsia" w:ascii="宋体" w:hAnsi="宋体" w:cs="Times New Roman"/>
                <w:color w:val="auto"/>
                <w:sz w:val="21"/>
                <w:szCs w:val="21"/>
              </w:rPr>
              <w:t>危险废物</w:t>
            </w:r>
          </w:p>
        </w:tc>
        <w:tc>
          <w:tcPr>
            <w:tcW w:w="3254" w:type="dxa"/>
            <w:tcBorders>
              <w:top w:val="single" w:color="000000" w:sz="4" w:space="0"/>
              <w:left w:val="single" w:color="000000" w:sz="4" w:space="0"/>
              <w:bottom w:val="single" w:color="000000" w:sz="4" w:space="0"/>
              <w:right w:val="single" w:color="000000" w:sz="4" w:space="0"/>
            </w:tcBorders>
            <w:vAlign w:val="center"/>
          </w:tcPr>
          <w:p>
            <w:pPr>
              <w:snapToGrid w:val="0"/>
              <w:spacing w:line="240" w:lineRule="auto"/>
              <w:ind w:firstLine="0" w:firstLineChars="0"/>
              <w:jc w:val="center"/>
              <w:rPr>
                <w:rFonts w:cs="Times New Roman"/>
                <w:color w:val="auto"/>
                <w:sz w:val="21"/>
                <w:szCs w:val="21"/>
              </w:rPr>
            </w:pPr>
            <w:r>
              <w:rPr>
                <w:rFonts w:hint="eastAsia" w:ascii="宋体" w:hAnsi="宋体" w:cs="Times New Roman"/>
                <w:color w:val="auto"/>
                <w:sz w:val="21"/>
                <w:szCs w:val="21"/>
              </w:rPr>
              <w:t>废机油</w:t>
            </w:r>
          </w:p>
        </w:tc>
        <w:tc>
          <w:tcPr>
            <w:tcW w:w="1773" w:type="dxa"/>
            <w:tcBorders>
              <w:top w:val="single" w:color="000000" w:sz="4" w:space="0"/>
              <w:left w:val="single" w:color="000000" w:sz="4" w:space="0"/>
              <w:bottom w:val="single" w:color="000000" w:sz="4" w:space="0"/>
              <w:right w:val="single" w:color="000000" w:sz="4" w:space="0"/>
            </w:tcBorders>
            <w:vAlign w:val="center"/>
          </w:tcPr>
          <w:p>
            <w:pPr>
              <w:widowControl/>
              <w:snapToGrid w:val="0"/>
              <w:spacing w:line="240" w:lineRule="auto"/>
              <w:ind w:firstLine="0" w:firstLineChars="0"/>
              <w:jc w:val="center"/>
              <w:textAlignment w:val="center"/>
              <w:rPr>
                <w:rFonts w:hint="eastAsia" w:ascii="宋体" w:hAnsi="宋体" w:cs="Times New Roman"/>
                <w:color w:val="auto"/>
                <w:sz w:val="21"/>
                <w:szCs w:val="21"/>
              </w:rPr>
            </w:pPr>
            <w:r>
              <w:rPr>
                <w:rFonts w:hint="eastAsia" w:cs="Times New Roman"/>
                <w:color w:val="auto"/>
                <w:sz w:val="21"/>
                <w:szCs w:val="21"/>
              </w:rPr>
              <w:t xml:space="preserve">900-214-08 </w:t>
            </w:r>
          </w:p>
        </w:tc>
        <w:tc>
          <w:tcPr>
            <w:tcW w:w="1292"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textAlignment w:val="center"/>
              <w:rPr>
                <w:rFonts w:cs="Times New Roman"/>
                <w:color w:val="auto"/>
                <w:kern w:val="0"/>
                <w:sz w:val="21"/>
                <w:szCs w:val="21"/>
              </w:rPr>
            </w:pPr>
            <w:r>
              <w:rPr>
                <w:rFonts w:cs="Times New Roman"/>
                <w:color w:val="auto"/>
                <w:kern w:val="0"/>
                <w:sz w:val="21"/>
                <w:szCs w:val="21"/>
              </w:rPr>
              <w:t>0.025</w:t>
            </w:r>
          </w:p>
        </w:tc>
        <w:tc>
          <w:tcPr>
            <w:tcW w:w="1292" w:type="dxa"/>
            <w:vMerge w:val="restart"/>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textAlignment w:val="center"/>
              <w:rPr>
                <w:rFonts w:cs="Times New Roman"/>
                <w:color w:val="auto"/>
                <w:kern w:val="0"/>
                <w:sz w:val="21"/>
                <w:szCs w:val="21"/>
              </w:rPr>
            </w:pPr>
            <w:r>
              <w:rPr>
                <w:rFonts w:cs="Times New Roman"/>
                <w:color w:val="auto"/>
                <w:sz w:val="21"/>
                <w:szCs w:val="21"/>
              </w:rPr>
              <w:t>暂存于危废间，定期交</w:t>
            </w:r>
            <w:r>
              <w:rPr>
                <w:rFonts w:hint="eastAsia" w:cs="Times New Roman"/>
                <w:color w:val="auto"/>
                <w:sz w:val="21"/>
                <w:szCs w:val="21"/>
              </w:rPr>
              <w:t>肇庆市新荣昌环保股份有限公司</w:t>
            </w:r>
            <w:r>
              <w:rPr>
                <w:rFonts w:cs="Times New Roman"/>
                <w:color w:val="auto"/>
                <w:sz w:val="21"/>
                <w:szCs w:val="21"/>
              </w:rPr>
              <w:t>处置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trPr>
        <w:tc>
          <w:tcPr>
            <w:tcW w:w="911" w:type="dxa"/>
            <w:vMerge w:val="continue"/>
            <w:tcBorders>
              <w:top w:val="nil"/>
              <w:left w:val="single" w:color="000000" w:sz="4" w:space="0"/>
              <w:bottom w:val="single" w:color="000000" w:sz="4" w:space="0"/>
              <w:right w:val="single" w:color="000000" w:sz="4" w:space="0"/>
            </w:tcBorders>
            <w:vAlign w:val="center"/>
          </w:tcPr>
          <w:p>
            <w:pPr>
              <w:widowControl/>
              <w:spacing w:line="240" w:lineRule="auto"/>
              <w:ind w:firstLine="0" w:firstLineChars="0"/>
              <w:jc w:val="left"/>
              <w:rPr>
                <w:rFonts w:cs="Times New Roman"/>
                <w:color w:val="auto"/>
                <w:sz w:val="21"/>
                <w:szCs w:val="21"/>
              </w:rPr>
            </w:pPr>
          </w:p>
        </w:tc>
        <w:tc>
          <w:tcPr>
            <w:tcW w:w="3254" w:type="dxa"/>
            <w:tcBorders>
              <w:top w:val="single" w:color="000000" w:sz="4" w:space="0"/>
              <w:left w:val="single" w:color="000000" w:sz="4" w:space="0"/>
              <w:bottom w:val="single" w:color="000000" w:sz="4" w:space="0"/>
              <w:right w:val="single" w:color="000000" w:sz="4" w:space="0"/>
            </w:tcBorders>
            <w:vAlign w:val="center"/>
          </w:tcPr>
          <w:p>
            <w:pPr>
              <w:snapToGrid w:val="0"/>
              <w:spacing w:line="240" w:lineRule="auto"/>
              <w:ind w:firstLine="0" w:firstLineChars="0"/>
              <w:jc w:val="center"/>
              <w:rPr>
                <w:rFonts w:hint="eastAsia" w:ascii="宋体" w:hAnsi="宋体" w:cs="Times New Roman"/>
                <w:color w:val="auto"/>
                <w:sz w:val="21"/>
                <w:szCs w:val="21"/>
              </w:rPr>
            </w:pPr>
            <w:r>
              <w:rPr>
                <w:rFonts w:hint="eastAsia" w:ascii="宋体" w:hAnsi="宋体" w:cs="Times New Roman"/>
                <w:color w:val="auto"/>
                <w:sz w:val="21"/>
                <w:szCs w:val="21"/>
              </w:rPr>
              <w:t>废液压油</w:t>
            </w:r>
          </w:p>
        </w:tc>
        <w:tc>
          <w:tcPr>
            <w:tcW w:w="1773" w:type="dxa"/>
            <w:tcBorders>
              <w:top w:val="single" w:color="000000" w:sz="4" w:space="0"/>
              <w:left w:val="single" w:color="000000" w:sz="4" w:space="0"/>
              <w:bottom w:val="single" w:color="000000" w:sz="4" w:space="0"/>
              <w:right w:val="single" w:color="000000" w:sz="4" w:space="0"/>
            </w:tcBorders>
            <w:vAlign w:val="center"/>
          </w:tcPr>
          <w:p>
            <w:pPr>
              <w:widowControl/>
              <w:snapToGrid w:val="0"/>
              <w:spacing w:line="240" w:lineRule="auto"/>
              <w:ind w:firstLine="0" w:firstLineChars="0"/>
              <w:jc w:val="center"/>
              <w:textAlignment w:val="center"/>
              <w:rPr>
                <w:rFonts w:hint="eastAsia" w:ascii="宋体" w:hAnsi="宋体" w:cs="Times New Roman"/>
                <w:color w:val="auto"/>
                <w:sz w:val="21"/>
                <w:szCs w:val="21"/>
              </w:rPr>
            </w:pPr>
            <w:r>
              <w:rPr>
                <w:rFonts w:hint="eastAsia" w:cs="Times New Roman"/>
                <w:color w:val="auto"/>
                <w:sz w:val="21"/>
                <w:szCs w:val="21"/>
              </w:rPr>
              <w:t>900-218-08</w:t>
            </w:r>
          </w:p>
        </w:tc>
        <w:tc>
          <w:tcPr>
            <w:tcW w:w="1292"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textAlignment w:val="center"/>
              <w:rPr>
                <w:rFonts w:cs="Times New Roman"/>
                <w:color w:val="auto"/>
                <w:kern w:val="0"/>
                <w:sz w:val="21"/>
                <w:szCs w:val="21"/>
              </w:rPr>
            </w:pPr>
            <w:r>
              <w:rPr>
                <w:rFonts w:hint="eastAsia" w:cs="Times New Roman"/>
                <w:color w:val="auto"/>
                <w:kern w:val="0"/>
                <w:sz w:val="21"/>
                <w:szCs w:val="21"/>
              </w:rPr>
              <w:t>0.0816</w:t>
            </w:r>
          </w:p>
        </w:tc>
        <w:tc>
          <w:tcPr>
            <w:tcW w:w="1292" w:type="dxa"/>
            <w:vMerge w:val="continue"/>
            <w:tcBorders>
              <w:left w:val="single" w:color="000000" w:sz="4" w:space="0"/>
              <w:right w:val="single" w:color="000000" w:sz="4" w:space="0"/>
            </w:tcBorders>
          </w:tcPr>
          <w:p>
            <w:pPr>
              <w:widowControl/>
              <w:spacing w:line="240" w:lineRule="auto"/>
              <w:ind w:firstLine="0" w:firstLineChars="0"/>
              <w:jc w:val="center"/>
              <w:textAlignment w:val="center"/>
              <w:rPr>
                <w:rFonts w:cs="Times New Roman"/>
                <w:color w:val="auto"/>
                <w:kern w:val="0"/>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trPr>
        <w:tc>
          <w:tcPr>
            <w:tcW w:w="911" w:type="dxa"/>
            <w:vMerge w:val="continue"/>
            <w:tcBorders>
              <w:top w:val="nil"/>
              <w:left w:val="single" w:color="000000" w:sz="4" w:space="0"/>
              <w:bottom w:val="single" w:color="000000" w:sz="4" w:space="0"/>
              <w:right w:val="single" w:color="000000" w:sz="4" w:space="0"/>
            </w:tcBorders>
            <w:vAlign w:val="center"/>
          </w:tcPr>
          <w:p>
            <w:pPr>
              <w:widowControl/>
              <w:spacing w:line="240" w:lineRule="auto"/>
              <w:ind w:firstLine="0" w:firstLineChars="0"/>
              <w:jc w:val="left"/>
              <w:rPr>
                <w:rFonts w:cs="Times New Roman"/>
                <w:color w:val="auto"/>
                <w:sz w:val="21"/>
                <w:szCs w:val="21"/>
              </w:rPr>
            </w:pPr>
          </w:p>
        </w:tc>
        <w:tc>
          <w:tcPr>
            <w:tcW w:w="3254"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textAlignment w:val="center"/>
              <w:rPr>
                <w:rFonts w:hint="eastAsia" w:ascii="宋体" w:hAnsi="宋体" w:cs="Times New Roman"/>
                <w:color w:val="auto"/>
                <w:sz w:val="21"/>
                <w:szCs w:val="21"/>
              </w:rPr>
            </w:pPr>
            <w:r>
              <w:rPr>
                <w:rFonts w:hint="eastAsia" w:ascii="宋体" w:hAnsi="宋体" w:cs="Times New Roman"/>
                <w:color w:val="auto"/>
                <w:sz w:val="21"/>
                <w:szCs w:val="21"/>
              </w:rPr>
              <w:t>废乳化油</w:t>
            </w:r>
          </w:p>
        </w:tc>
        <w:tc>
          <w:tcPr>
            <w:tcW w:w="1773"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textAlignment w:val="center"/>
              <w:rPr>
                <w:rFonts w:hint="eastAsia" w:ascii="宋体" w:hAnsi="宋体" w:cs="Times New Roman"/>
                <w:color w:val="auto"/>
                <w:sz w:val="21"/>
                <w:szCs w:val="21"/>
              </w:rPr>
            </w:pPr>
            <w:r>
              <w:rPr>
                <w:rFonts w:hint="eastAsia" w:cs="Times New Roman"/>
                <w:color w:val="auto"/>
                <w:sz w:val="21"/>
                <w:szCs w:val="21"/>
              </w:rPr>
              <w:t>900-006-09</w:t>
            </w:r>
          </w:p>
        </w:tc>
        <w:tc>
          <w:tcPr>
            <w:tcW w:w="1292"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textAlignment w:val="center"/>
              <w:rPr>
                <w:rFonts w:cs="Times New Roman"/>
                <w:color w:val="auto"/>
                <w:kern w:val="0"/>
                <w:sz w:val="21"/>
                <w:szCs w:val="21"/>
              </w:rPr>
            </w:pPr>
            <w:r>
              <w:rPr>
                <w:rFonts w:hint="eastAsia" w:cs="Times New Roman"/>
                <w:color w:val="auto"/>
                <w:kern w:val="0"/>
                <w:sz w:val="21"/>
                <w:szCs w:val="21"/>
              </w:rPr>
              <w:t>1.2</w:t>
            </w:r>
          </w:p>
        </w:tc>
        <w:tc>
          <w:tcPr>
            <w:tcW w:w="1292" w:type="dxa"/>
            <w:vMerge w:val="continue"/>
            <w:tcBorders>
              <w:left w:val="single" w:color="000000" w:sz="4" w:space="0"/>
              <w:right w:val="single" w:color="000000" w:sz="4" w:space="0"/>
            </w:tcBorders>
          </w:tcPr>
          <w:p>
            <w:pPr>
              <w:widowControl/>
              <w:spacing w:line="240" w:lineRule="auto"/>
              <w:ind w:firstLine="0" w:firstLineChars="0"/>
              <w:jc w:val="center"/>
              <w:textAlignment w:val="center"/>
              <w:rPr>
                <w:rFonts w:cs="Times New Roman"/>
                <w:color w:val="auto"/>
                <w:kern w:val="0"/>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trPr>
        <w:tc>
          <w:tcPr>
            <w:tcW w:w="911" w:type="dxa"/>
            <w:vMerge w:val="continue"/>
            <w:tcBorders>
              <w:top w:val="nil"/>
              <w:left w:val="single" w:color="000000" w:sz="4" w:space="0"/>
              <w:bottom w:val="single" w:color="000000" w:sz="4" w:space="0"/>
              <w:right w:val="single" w:color="000000" w:sz="4" w:space="0"/>
            </w:tcBorders>
            <w:vAlign w:val="center"/>
          </w:tcPr>
          <w:p>
            <w:pPr>
              <w:widowControl/>
              <w:spacing w:line="240" w:lineRule="auto"/>
              <w:ind w:firstLine="0" w:firstLineChars="0"/>
              <w:jc w:val="left"/>
              <w:rPr>
                <w:rFonts w:cs="Times New Roman"/>
                <w:color w:val="auto"/>
                <w:sz w:val="21"/>
                <w:szCs w:val="21"/>
              </w:rPr>
            </w:pPr>
          </w:p>
        </w:tc>
        <w:tc>
          <w:tcPr>
            <w:tcW w:w="3254" w:type="dxa"/>
            <w:tcBorders>
              <w:top w:val="single" w:color="000000" w:sz="4" w:space="0"/>
              <w:left w:val="single" w:color="000000" w:sz="4" w:space="0"/>
              <w:bottom w:val="single" w:color="000000" w:sz="4" w:space="0"/>
              <w:right w:val="single" w:color="000000" w:sz="4" w:space="0"/>
            </w:tcBorders>
            <w:vAlign w:val="center"/>
          </w:tcPr>
          <w:p>
            <w:pPr>
              <w:snapToGrid w:val="0"/>
              <w:spacing w:line="240" w:lineRule="auto"/>
              <w:ind w:firstLine="0" w:firstLineChars="0"/>
              <w:jc w:val="center"/>
              <w:rPr>
                <w:rFonts w:cs="Times New Roman"/>
                <w:color w:val="auto"/>
                <w:sz w:val="21"/>
                <w:szCs w:val="21"/>
              </w:rPr>
            </w:pPr>
            <w:r>
              <w:rPr>
                <w:rFonts w:hint="eastAsia" w:ascii="宋体" w:hAnsi="宋体" w:cs="Times New Roman"/>
                <w:color w:val="auto"/>
                <w:sz w:val="21"/>
                <w:szCs w:val="21"/>
              </w:rPr>
              <w:t>沾染乳化油的金属碎屑</w:t>
            </w:r>
          </w:p>
        </w:tc>
        <w:tc>
          <w:tcPr>
            <w:tcW w:w="1773" w:type="dxa"/>
            <w:tcBorders>
              <w:top w:val="single" w:color="000000" w:sz="4" w:space="0"/>
              <w:left w:val="single" w:color="000000" w:sz="4" w:space="0"/>
              <w:bottom w:val="single" w:color="000000" w:sz="4" w:space="0"/>
              <w:right w:val="single" w:color="000000" w:sz="4" w:space="0"/>
            </w:tcBorders>
            <w:vAlign w:val="center"/>
          </w:tcPr>
          <w:p>
            <w:pPr>
              <w:widowControl/>
              <w:snapToGrid w:val="0"/>
              <w:spacing w:line="240" w:lineRule="auto"/>
              <w:ind w:firstLine="0" w:firstLineChars="0"/>
              <w:jc w:val="center"/>
              <w:textAlignment w:val="center"/>
              <w:rPr>
                <w:rFonts w:hint="eastAsia" w:ascii="宋体" w:hAnsi="宋体" w:cs="Times New Roman"/>
                <w:color w:val="auto"/>
                <w:sz w:val="21"/>
                <w:szCs w:val="21"/>
              </w:rPr>
            </w:pPr>
            <w:r>
              <w:rPr>
                <w:rFonts w:hint="eastAsia" w:cs="Times New Roman"/>
                <w:color w:val="auto"/>
                <w:sz w:val="21"/>
                <w:szCs w:val="21"/>
              </w:rPr>
              <w:t>900-006-09</w:t>
            </w:r>
          </w:p>
        </w:tc>
        <w:tc>
          <w:tcPr>
            <w:tcW w:w="1292"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textAlignment w:val="center"/>
              <w:rPr>
                <w:rFonts w:cs="Times New Roman"/>
                <w:color w:val="auto"/>
                <w:kern w:val="0"/>
                <w:sz w:val="21"/>
                <w:szCs w:val="21"/>
              </w:rPr>
            </w:pPr>
            <w:r>
              <w:rPr>
                <w:rFonts w:hint="eastAsia" w:cs="Times New Roman"/>
                <w:color w:val="auto"/>
                <w:kern w:val="0"/>
                <w:sz w:val="21"/>
                <w:szCs w:val="21"/>
              </w:rPr>
              <w:t>0.25</w:t>
            </w:r>
          </w:p>
        </w:tc>
        <w:tc>
          <w:tcPr>
            <w:tcW w:w="1292" w:type="dxa"/>
            <w:vMerge w:val="continue"/>
            <w:tcBorders>
              <w:left w:val="single" w:color="000000" w:sz="4" w:space="0"/>
              <w:right w:val="single" w:color="000000" w:sz="4" w:space="0"/>
            </w:tcBorders>
          </w:tcPr>
          <w:p>
            <w:pPr>
              <w:widowControl/>
              <w:spacing w:line="240" w:lineRule="auto"/>
              <w:ind w:firstLine="0" w:firstLineChars="0"/>
              <w:jc w:val="center"/>
              <w:textAlignment w:val="center"/>
              <w:rPr>
                <w:rFonts w:cs="Times New Roman"/>
                <w:color w:val="auto"/>
                <w:kern w:val="0"/>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trPr>
        <w:tc>
          <w:tcPr>
            <w:tcW w:w="911" w:type="dxa"/>
            <w:vMerge w:val="continue"/>
            <w:tcBorders>
              <w:top w:val="nil"/>
              <w:left w:val="single" w:color="000000" w:sz="4" w:space="0"/>
              <w:bottom w:val="single" w:color="000000" w:sz="4" w:space="0"/>
              <w:right w:val="single" w:color="000000" w:sz="4" w:space="0"/>
            </w:tcBorders>
            <w:vAlign w:val="center"/>
          </w:tcPr>
          <w:p>
            <w:pPr>
              <w:widowControl/>
              <w:spacing w:line="240" w:lineRule="auto"/>
              <w:ind w:firstLine="0" w:firstLineChars="0"/>
              <w:jc w:val="left"/>
              <w:rPr>
                <w:rFonts w:cs="Times New Roman"/>
                <w:color w:val="auto"/>
                <w:sz w:val="21"/>
                <w:szCs w:val="21"/>
              </w:rPr>
            </w:pPr>
          </w:p>
        </w:tc>
        <w:tc>
          <w:tcPr>
            <w:tcW w:w="3254" w:type="dxa"/>
            <w:tcBorders>
              <w:top w:val="single" w:color="000000" w:sz="4" w:space="0"/>
              <w:left w:val="single" w:color="000000" w:sz="4" w:space="0"/>
              <w:bottom w:val="single" w:color="000000" w:sz="4" w:space="0"/>
              <w:right w:val="single" w:color="000000" w:sz="4" w:space="0"/>
            </w:tcBorders>
            <w:vAlign w:val="center"/>
          </w:tcPr>
          <w:p>
            <w:pPr>
              <w:snapToGrid w:val="0"/>
              <w:spacing w:line="240" w:lineRule="auto"/>
              <w:ind w:firstLine="0" w:firstLineChars="0"/>
              <w:jc w:val="center"/>
              <w:rPr>
                <w:rFonts w:cs="Times New Roman"/>
                <w:color w:val="auto"/>
                <w:sz w:val="21"/>
                <w:szCs w:val="21"/>
              </w:rPr>
            </w:pPr>
            <w:r>
              <w:rPr>
                <w:rFonts w:hint="eastAsia" w:ascii="宋体" w:hAnsi="宋体" w:cs="Times New Roman"/>
                <w:color w:val="auto"/>
                <w:sz w:val="21"/>
                <w:szCs w:val="21"/>
              </w:rPr>
              <w:t>废原辅料包装桶</w:t>
            </w:r>
          </w:p>
        </w:tc>
        <w:tc>
          <w:tcPr>
            <w:tcW w:w="1773" w:type="dxa"/>
            <w:tcBorders>
              <w:top w:val="single" w:color="000000" w:sz="4" w:space="0"/>
              <w:left w:val="single" w:color="000000" w:sz="4" w:space="0"/>
              <w:bottom w:val="single" w:color="000000" w:sz="4" w:space="0"/>
              <w:right w:val="single" w:color="000000" w:sz="4" w:space="0"/>
            </w:tcBorders>
            <w:vAlign w:val="center"/>
          </w:tcPr>
          <w:p>
            <w:pPr>
              <w:widowControl/>
              <w:snapToGrid w:val="0"/>
              <w:spacing w:line="240" w:lineRule="auto"/>
              <w:ind w:firstLine="0" w:firstLineChars="0"/>
              <w:jc w:val="center"/>
              <w:textAlignment w:val="center"/>
              <w:rPr>
                <w:rFonts w:hint="eastAsia" w:ascii="宋体" w:hAnsi="宋体" w:cs="Times New Roman"/>
                <w:color w:val="auto"/>
                <w:sz w:val="21"/>
                <w:szCs w:val="21"/>
              </w:rPr>
            </w:pPr>
            <w:r>
              <w:rPr>
                <w:rFonts w:hint="eastAsia" w:cs="Times New Roman"/>
                <w:color w:val="auto"/>
                <w:sz w:val="21"/>
                <w:szCs w:val="21"/>
              </w:rPr>
              <w:t>900-041-49</w:t>
            </w:r>
          </w:p>
        </w:tc>
        <w:tc>
          <w:tcPr>
            <w:tcW w:w="1292"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textAlignment w:val="center"/>
              <w:rPr>
                <w:rFonts w:cs="Times New Roman"/>
                <w:color w:val="auto"/>
                <w:kern w:val="0"/>
                <w:sz w:val="21"/>
                <w:szCs w:val="21"/>
              </w:rPr>
            </w:pPr>
            <w:r>
              <w:rPr>
                <w:rFonts w:hint="eastAsia" w:cs="Times New Roman"/>
                <w:color w:val="auto"/>
                <w:kern w:val="0"/>
                <w:sz w:val="21"/>
                <w:szCs w:val="21"/>
              </w:rPr>
              <w:t>0.1798</w:t>
            </w:r>
          </w:p>
        </w:tc>
        <w:tc>
          <w:tcPr>
            <w:tcW w:w="1292" w:type="dxa"/>
            <w:vMerge w:val="continue"/>
            <w:tcBorders>
              <w:left w:val="single" w:color="000000" w:sz="4" w:space="0"/>
              <w:right w:val="single" w:color="000000" w:sz="4" w:space="0"/>
            </w:tcBorders>
          </w:tcPr>
          <w:p>
            <w:pPr>
              <w:widowControl/>
              <w:spacing w:line="240" w:lineRule="auto"/>
              <w:ind w:firstLine="0" w:firstLineChars="0"/>
              <w:jc w:val="center"/>
              <w:textAlignment w:val="center"/>
              <w:rPr>
                <w:rFonts w:cs="Times New Roman"/>
                <w:color w:val="auto"/>
                <w:kern w:val="0"/>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trPr>
        <w:tc>
          <w:tcPr>
            <w:tcW w:w="911" w:type="dxa"/>
            <w:vMerge w:val="continue"/>
            <w:tcBorders>
              <w:top w:val="nil"/>
              <w:left w:val="single" w:color="000000" w:sz="4" w:space="0"/>
              <w:bottom w:val="single" w:color="000000" w:sz="4" w:space="0"/>
              <w:right w:val="single" w:color="000000" w:sz="4" w:space="0"/>
            </w:tcBorders>
            <w:vAlign w:val="center"/>
          </w:tcPr>
          <w:p>
            <w:pPr>
              <w:widowControl/>
              <w:spacing w:line="240" w:lineRule="auto"/>
              <w:ind w:firstLine="0" w:firstLineChars="0"/>
              <w:jc w:val="left"/>
              <w:rPr>
                <w:rFonts w:cs="Times New Roman"/>
                <w:color w:val="auto"/>
                <w:sz w:val="21"/>
                <w:szCs w:val="21"/>
              </w:rPr>
            </w:pPr>
          </w:p>
        </w:tc>
        <w:tc>
          <w:tcPr>
            <w:tcW w:w="3254" w:type="dxa"/>
            <w:tcBorders>
              <w:top w:val="single" w:color="000000" w:sz="4" w:space="0"/>
              <w:left w:val="single" w:color="000000" w:sz="4" w:space="0"/>
              <w:bottom w:val="single" w:color="000000" w:sz="4" w:space="0"/>
              <w:right w:val="single" w:color="000000" w:sz="4" w:space="0"/>
            </w:tcBorders>
            <w:vAlign w:val="center"/>
          </w:tcPr>
          <w:p>
            <w:pPr>
              <w:snapToGrid w:val="0"/>
              <w:spacing w:line="240" w:lineRule="auto"/>
              <w:ind w:firstLine="0" w:firstLineChars="0"/>
              <w:jc w:val="center"/>
              <w:rPr>
                <w:rFonts w:hint="eastAsia" w:ascii="宋体" w:hAnsi="宋体" w:cs="Times New Roman"/>
                <w:color w:val="auto"/>
                <w:sz w:val="21"/>
                <w:szCs w:val="21"/>
              </w:rPr>
            </w:pPr>
            <w:r>
              <w:rPr>
                <w:rFonts w:hint="eastAsia" w:ascii="宋体" w:hAnsi="宋体" w:cs="Times New Roman"/>
                <w:color w:val="auto"/>
                <w:sz w:val="21"/>
                <w:szCs w:val="21"/>
              </w:rPr>
              <w:t>漆渣</w:t>
            </w:r>
          </w:p>
        </w:tc>
        <w:tc>
          <w:tcPr>
            <w:tcW w:w="1773" w:type="dxa"/>
            <w:tcBorders>
              <w:top w:val="single" w:color="000000" w:sz="4" w:space="0"/>
              <w:left w:val="single" w:color="000000" w:sz="4" w:space="0"/>
              <w:bottom w:val="single" w:color="000000" w:sz="4" w:space="0"/>
              <w:right w:val="single" w:color="000000" w:sz="4" w:space="0"/>
            </w:tcBorders>
            <w:vAlign w:val="center"/>
          </w:tcPr>
          <w:p>
            <w:pPr>
              <w:widowControl/>
              <w:snapToGrid w:val="0"/>
              <w:spacing w:line="240" w:lineRule="auto"/>
              <w:ind w:firstLine="0" w:firstLineChars="0"/>
              <w:jc w:val="center"/>
              <w:textAlignment w:val="center"/>
              <w:rPr>
                <w:rFonts w:hint="eastAsia" w:ascii="宋体" w:hAnsi="宋体" w:cs="Times New Roman"/>
                <w:color w:val="auto"/>
                <w:sz w:val="21"/>
                <w:szCs w:val="21"/>
              </w:rPr>
            </w:pPr>
            <w:r>
              <w:rPr>
                <w:rFonts w:hint="eastAsia" w:cs="Times New Roman"/>
                <w:color w:val="auto"/>
                <w:sz w:val="21"/>
                <w:szCs w:val="21"/>
              </w:rPr>
              <w:t>900-252-12</w:t>
            </w:r>
          </w:p>
        </w:tc>
        <w:tc>
          <w:tcPr>
            <w:tcW w:w="1292"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textAlignment w:val="center"/>
              <w:rPr>
                <w:rFonts w:cs="Times New Roman"/>
                <w:color w:val="auto"/>
                <w:kern w:val="0"/>
                <w:sz w:val="21"/>
                <w:szCs w:val="21"/>
              </w:rPr>
            </w:pPr>
            <w:r>
              <w:rPr>
                <w:rFonts w:hint="eastAsia" w:cs="Times New Roman"/>
                <w:color w:val="auto"/>
                <w:kern w:val="0"/>
                <w:sz w:val="21"/>
                <w:szCs w:val="21"/>
              </w:rPr>
              <w:t>1.4279</w:t>
            </w:r>
          </w:p>
        </w:tc>
        <w:tc>
          <w:tcPr>
            <w:tcW w:w="1292" w:type="dxa"/>
            <w:vMerge w:val="continue"/>
            <w:tcBorders>
              <w:left w:val="single" w:color="000000" w:sz="4" w:space="0"/>
              <w:right w:val="single" w:color="000000" w:sz="4" w:space="0"/>
            </w:tcBorders>
          </w:tcPr>
          <w:p>
            <w:pPr>
              <w:widowControl/>
              <w:spacing w:line="240" w:lineRule="auto"/>
              <w:ind w:firstLine="0" w:firstLineChars="0"/>
              <w:jc w:val="center"/>
              <w:textAlignment w:val="center"/>
              <w:rPr>
                <w:rFonts w:cs="Times New Roman"/>
                <w:color w:val="auto"/>
                <w:kern w:val="0"/>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trPr>
        <w:tc>
          <w:tcPr>
            <w:tcW w:w="911" w:type="dxa"/>
            <w:vMerge w:val="continue"/>
            <w:tcBorders>
              <w:top w:val="nil"/>
              <w:left w:val="single" w:color="000000" w:sz="4" w:space="0"/>
              <w:bottom w:val="single" w:color="000000" w:sz="4" w:space="0"/>
              <w:right w:val="single" w:color="000000" w:sz="4" w:space="0"/>
            </w:tcBorders>
            <w:vAlign w:val="center"/>
          </w:tcPr>
          <w:p>
            <w:pPr>
              <w:widowControl/>
              <w:spacing w:line="240" w:lineRule="auto"/>
              <w:ind w:firstLine="0" w:firstLineChars="0"/>
              <w:jc w:val="left"/>
              <w:rPr>
                <w:rFonts w:cs="Times New Roman"/>
                <w:color w:val="auto"/>
                <w:sz w:val="21"/>
                <w:szCs w:val="21"/>
              </w:rPr>
            </w:pPr>
          </w:p>
        </w:tc>
        <w:tc>
          <w:tcPr>
            <w:tcW w:w="3254" w:type="dxa"/>
            <w:tcBorders>
              <w:top w:val="single" w:color="000000" w:sz="4" w:space="0"/>
              <w:left w:val="single" w:color="000000" w:sz="4" w:space="0"/>
              <w:bottom w:val="single" w:color="000000" w:sz="4" w:space="0"/>
              <w:right w:val="single" w:color="000000" w:sz="4" w:space="0"/>
            </w:tcBorders>
            <w:vAlign w:val="center"/>
          </w:tcPr>
          <w:p>
            <w:pPr>
              <w:snapToGrid w:val="0"/>
              <w:spacing w:line="240" w:lineRule="auto"/>
              <w:ind w:firstLine="0" w:firstLineChars="0"/>
              <w:jc w:val="center"/>
              <w:rPr>
                <w:rFonts w:cs="Times New Roman"/>
                <w:color w:val="auto"/>
                <w:sz w:val="21"/>
                <w:szCs w:val="21"/>
              </w:rPr>
            </w:pPr>
            <w:r>
              <w:rPr>
                <w:rFonts w:hint="eastAsia" w:ascii="宋体" w:hAnsi="宋体" w:cs="Times New Roman"/>
                <w:color w:val="auto"/>
                <w:sz w:val="21"/>
                <w:szCs w:val="21"/>
              </w:rPr>
              <w:t>废干式过滤器介质</w:t>
            </w:r>
          </w:p>
        </w:tc>
        <w:tc>
          <w:tcPr>
            <w:tcW w:w="1773" w:type="dxa"/>
            <w:tcBorders>
              <w:top w:val="single" w:color="000000" w:sz="4" w:space="0"/>
              <w:left w:val="single" w:color="000000" w:sz="4" w:space="0"/>
              <w:bottom w:val="single" w:color="000000" w:sz="4" w:space="0"/>
              <w:right w:val="single" w:color="000000" w:sz="4" w:space="0"/>
            </w:tcBorders>
            <w:vAlign w:val="center"/>
          </w:tcPr>
          <w:p>
            <w:pPr>
              <w:widowControl/>
              <w:snapToGrid w:val="0"/>
              <w:spacing w:line="240" w:lineRule="auto"/>
              <w:ind w:firstLine="0" w:firstLineChars="0"/>
              <w:jc w:val="center"/>
              <w:textAlignment w:val="center"/>
              <w:rPr>
                <w:rFonts w:hint="eastAsia" w:ascii="宋体" w:hAnsi="宋体" w:cs="Times New Roman"/>
                <w:color w:val="auto"/>
                <w:sz w:val="21"/>
                <w:szCs w:val="21"/>
              </w:rPr>
            </w:pPr>
            <w:r>
              <w:rPr>
                <w:rFonts w:hint="eastAsia" w:cs="Times New Roman"/>
                <w:color w:val="auto"/>
                <w:sz w:val="21"/>
                <w:szCs w:val="21"/>
              </w:rPr>
              <w:t>900-041-49</w:t>
            </w:r>
          </w:p>
        </w:tc>
        <w:tc>
          <w:tcPr>
            <w:tcW w:w="1292"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textAlignment w:val="center"/>
              <w:rPr>
                <w:rFonts w:cs="Times New Roman"/>
                <w:color w:val="auto"/>
                <w:kern w:val="0"/>
                <w:sz w:val="21"/>
                <w:szCs w:val="21"/>
              </w:rPr>
            </w:pPr>
            <w:r>
              <w:rPr>
                <w:rFonts w:hint="eastAsia" w:cs="Times New Roman"/>
                <w:color w:val="auto"/>
                <w:kern w:val="0"/>
                <w:sz w:val="21"/>
                <w:szCs w:val="21"/>
              </w:rPr>
              <w:t>0.15</w:t>
            </w:r>
          </w:p>
        </w:tc>
        <w:tc>
          <w:tcPr>
            <w:tcW w:w="1292" w:type="dxa"/>
            <w:vMerge w:val="continue"/>
            <w:tcBorders>
              <w:left w:val="single" w:color="000000" w:sz="4" w:space="0"/>
              <w:right w:val="single" w:color="000000" w:sz="4" w:space="0"/>
            </w:tcBorders>
          </w:tcPr>
          <w:p>
            <w:pPr>
              <w:widowControl/>
              <w:spacing w:line="240" w:lineRule="auto"/>
              <w:ind w:firstLine="0" w:firstLineChars="0"/>
              <w:jc w:val="center"/>
              <w:textAlignment w:val="center"/>
              <w:rPr>
                <w:rFonts w:cs="Times New Roman"/>
                <w:color w:val="auto"/>
                <w:kern w:val="0"/>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trPr>
        <w:tc>
          <w:tcPr>
            <w:tcW w:w="911" w:type="dxa"/>
            <w:vMerge w:val="continue"/>
            <w:tcBorders>
              <w:top w:val="nil"/>
              <w:left w:val="single" w:color="000000" w:sz="4" w:space="0"/>
              <w:bottom w:val="single" w:color="000000" w:sz="4" w:space="0"/>
              <w:right w:val="single" w:color="000000" w:sz="4" w:space="0"/>
            </w:tcBorders>
            <w:vAlign w:val="center"/>
          </w:tcPr>
          <w:p>
            <w:pPr>
              <w:widowControl/>
              <w:spacing w:line="240" w:lineRule="auto"/>
              <w:ind w:firstLine="0" w:firstLineChars="0"/>
              <w:jc w:val="left"/>
              <w:rPr>
                <w:rFonts w:cs="Times New Roman"/>
                <w:color w:val="auto"/>
                <w:sz w:val="21"/>
                <w:szCs w:val="21"/>
              </w:rPr>
            </w:pPr>
          </w:p>
        </w:tc>
        <w:tc>
          <w:tcPr>
            <w:tcW w:w="3254" w:type="dxa"/>
            <w:tcBorders>
              <w:top w:val="single" w:color="000000" w:sz="4" w:space="0"/>
              <w:left w:val="single" w:color="000000" w:sz="4" w:space="0"/>
              <w:bottom w:val="single" w:color="000000" w:sz="4" w:space="0"/>
              <w:right w:val="single" w:color="000000" w:sz="4" w:space="0"/>
            </w:tcBorders>
            <w:vAlign w:val="center"/>
          </w:tcPr>
          <w:p>
            <w:pPr>
              <w:snapToGrid w:val="0"/>
              <w:spacing w:line="240" w:lineRule="auto"/>
              <w:ind w:firstLine="0" w:firstLineChars="0"/>
              <w:jc w:val="center"/>
              <w:rPr>
                <w:rFonts w:hint="eastAsia" w:ascii="宋体" w:hAnsi="宋体" w:cs="Times New Roman"/>
                <w:color w:val="auto"/>
                <w:sz w:val="21"/>
                <w:szCs w:val="21"/>
              </w:rPr>
            </w:pPr>
            <w:r>
              <w:rPr>
                <w:rFonts w:hint="eastAsia" w:ascii="宋体" w:hAnsi="宋体" w:cs="Times New Roman"/>
                <w:color w:val="auto"/>
                <w:sz w:val="21"/>
                <w:szCs w:val="21"/>
              </w:rPr>
              <w:t>废活性炭</w:t>
            </w:r>
          </w:p>
        </w:tc>
        <w:tc>
          <w:tcPr>
            <w:tcW w:w="1773" w:type="dxa"/>
            <w:tcBorders>
              <w:top w:val="single" w:color="000000" w:sz="4" w:space="0"/>
              <w:left w:val="single" w:color="000000" w:sz="4" w:space="0"/>
              <w:bottom w:val="single" w:color="000000" w:sz="4" w:space="0"/>
              <w:right w:val="single" w:color="000000" w:sz="4" w:space="0"/>
            </w:tcBorders>
            <w:vAlign w:val="center"/>
          </w:tcPr>
          <w:p>
            <w:pPr>
              <w:widowControl/>
              <w:snapToGrid w:val="0"/>
              <w:spacing w:line="240" w:lineRule="auto"/>
              <w:ind w:firstLine="0" w:firstLineChars="0"/>
              <w:jc w:val="center"/>
              <w:textAlignment w:val="center"/>
              <w:rPr>
                <w:rFonts w:hint="eastAsia" w:ascii="宋体" w:hAnsi="宋体" w:cs="Times New Roman"/>
                <w:color w:val="auto"/>
                <w:sz w:val="21"/>
                <w:szCs w:val="21"/>
              </w:rPr>
            </w:pPr>
            <w:r>
              <w:rPr>
                <w:rFonts w:hint="eastAsia" w:cs="Times New Roman"/>
                <w:color w:val="auto"/>
                <w:sz w:val="21"/>
                <w:szCs w:val="21"/>
              </w:rPr>
              <w:t>900-039-49</w:t>
            </w:r>
          </w:p>
        </w:tc>
        <w:tc>
          <w:tcPr>
            <w:tcW w:w="1292"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textAlignment w:val="center"/>
              <w:rPr>
                <w:rFonts w:cs="Times New Roman"/>
                <w:color w:val="auto"/>
                <w:kern w:val="0"/>
                <w:sz w:val="21"/>
                <w:szCs w:val="21"/>
              </w:rPr>
            </w:pPr>
            <w:r>
              <w:rPr>
                <w:rFonts w:hint="eastAsia" w:cs="Times New Roman"/>
                <w:color w:val="auto"/>
                <w:sz w:val="21"/>
                <w:szCs w:val="21"/>
              </w:rPr>
              <w:t>16.63</w:t>
            </w:r>
          </w:p>
        </w:tc>
        <w:tc>
          <w:tcPr>
            <w:tcW w:w="1292" w:type="dxa"/>
            <w:vMerge w:val="continue"/>
            <w:tcBorders>
              <w:left w:val="single" w:color="000000" w:sz="4" w:space="0"/>
              <w:right w:val="single" w:color="000000" w:sz="4" w:space="0"/>
            </w:tcBorders>
          </w:tcPr>
          <w:p>
            <w:pPr>
              <w:widowControl/>
              <w:spacing w:line="240" w:lineRule="auto"/>
              <w:ind w:firstLine="0" w:firstLineChars="0"/>
              <w:jc w:val="center"/>
              <w:textAlignment w:val="center"/>
              <w:rPr>
                <w:rFonts w:cs="Times New Roman"/>
                <w:color w:val="auto"/>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trPr>
        <w:tc>
          <w:tcPr>
            <w:tcW w:w="911" w:type="dxa"/>
            <w:vMerge w:val="continue"/>
            <w:tcBorders>
              <w:top w:val="nil"/>
              <w:left w:val="single" w:color="000000" w:sz="4" w:space="0"/>
              <w:bottom w:val="single" w:color="000000" w:sz="4" w:space="0"/>
              <w:right w:val="single" w:color="000000" w:sz="4" w:space="0"/>
            </w:tcBorders>
            <w:vAlign w:val="center"/>
          </w:tcPr>
          <w:p>
            <w:pPr>
              <w:widowControl/>
              <w:spacing w:line="240" w:lineRule="auto"/>
              <w:ind w:firstLine="0" w:firstLineChars="0"/>
              <w:jc w:val="left"/>
              <w:rPr>
                <w:rFonts w:cs="Times New Roman"/>
                <w:color w:val="auto"/>
                <w:sz w:val="21"/>
                <w:szCs w:val="21"/>
              </w:rPr>
            </w:pPr>
          </w:p>
        </w:tc>
        <w:tc>
          <w:tcPr>
            <w:tcW w:w="3254" w:type="dxa"/>
            <w:tcBorders>
              <w:top w:val="single" w:color="000000" w:sz="4" w:space="0"/>
              <w:left w:val="single" w:color="000000" w:sz="4" w:space="0"/>
              <w:bottom w:val="single" w:color="000000" w:sz="4" w:space="0"/>
              <w:right w:val="single" w:color="000000" w:sz="4" w:space="0"/>
            </w:tcBorders>
            <w:vAlign w:val="center"/>
          </w:tcPr>
          <w:p>
            <w:pPr>
              <w:snapToGrid w:val="0"/>
              <w:spacing w:line="240" w:lineRule="auto"/>
              <w:ind w:firstLine="0" w:firstLineChars="0"/>
              <w:jc w:val="center"/>
              <w:rPr>
                <w:rFonts w:hint="eastAsia" w:ascii="宋体" w:hAnsi="宋体" w:cs="Times New Roman"/>
                <w:color w:val="auto"/>
                <w:sz w:val="21"/>
                <w:szCs w:val="21"/>
              </w:rPr>
            </w:pPr>
            <w:r>
              <w:rPr>
                <w:rFonts w:hint="eastAsia" w:ascii="宋体" w:hAnsi="宋体" w:cs="Times New Roman"/>
                <w:color w:val="auto"/>
                <w:sz w:val="21"/>
                <w:szCs w:val="21"/>
              </w:rPr>
              <w:t>废清抹布、废拉丝布、含油废抹布及手套</w:t>
            </w:r>
          </w:p>
        </w:tc>
        <w:tc>
          <w:tcPr>
            <w:tcW w:w="1773" w:type="dxa"/>
            <w:tcBorders>
              <w:top w:val="single" w:color="000000" w:sz="4" w:space="0"/>
              <w:left w:val="single" w:color="000000" w:sz="4" w:space="0"/>
              <w:bottom w:val="single" w:color="000000" w:sz="4" w:space="0"/>
              <w:right w:val="single" w:color="000000" w:sz="4" w:space="0"/>
            </w:tcBorders>
            <w:vAlign w:val="center"/>
          </w:tcPr>
          <w:p>
            <w:pPr>
              <w:widowControl/>
              <w:snapToGrid w:val="0"/>
              <w:spacing w:line="240" w:lineRule="auto"/>
              <w:ind w:firstLine="0" w:firstLineChars="0"/>
              <w:jc w:val="center"/>
              <w:textAlignment w:val="center"/>
              <w:rPr>
                <w:rFonts w:hint="eastAsia" w:ascii="宋体" w:hAnsi="宋体" w:cs="Times New Roman"/>
                <w:color w:val="auto"/>
                <w:sz w:val="21"/>
                <w:szCs w:val="21"/>
              </w:rPr>
            </w:pPr>
            <w:r>
              <w:rPr>
                <w:rFonts w:hint="eastAsia" w:cs="Times New Roman"/>
                <w:color w:val="auto"/>
                <w:sz w:val="21"/>
                <w:szCs w:val="21"/>
              </w:rPr>
              <w:t>900-041-49</w:t>
            </w:r>
          </w:p>
        </w:tc>
        <w:tc>
          <w:tcPr>
            <w:tcW w:w="1292" w:type="dxa"/>
            <w:tcBorders>
              <w:top w:val="single" w:color="000000" w:sz="4" w:space="0"/>
              <w:left w:val="single" w:color="000000" w:sz="4" w:space="0"/>
              <w:bottom w:val="single" w:color="000000" w:sz="4" w:space="0"/>
              <w:right w:val="single" w:color="000000" w:sz="4" w:space="0"/>
            </w:tcBorders>
            <w:vAlign w:val="center"/>
          </w:tcPr>
          <w:p>
            <w:pPr>
              <w:widowControl/>
              <w:spacing w:line="240" w:lineRule="auto"/>
              <w:ind w:firstLine="0" w:firstLineChars="0"/>
              <w:jc w:val="center"/>
              <w:textAlignment w:val="center"/>
              <w:rPr>
                <w:rFonts w:cs="Times New Roman"/>
                <w:color w:val="auto"/>
                <w:kern w:val="0"/>
                <w:sz w:val="21"/>
                <w:szCs w:val="21"/>
              </w:rPr>
            </w:pPr>
            <w:r>
              <w:rPr>
                <w:rFonts w:hint="eastAsia" w:cs="Times New Roman"/>
                <w:color w:val="auto"/>
                <w:kern w:val="0"/>
                <w:sz w:val="21"/>
                <w:szCs w:val="21"/>
              </w:rPr>
              <w:t>0.047</w:t>
            </w:r>
          </w:p>
        </w:tc>
        <w:tc>
          <w:tcPr>
            <w:tcW w:w="1292" w:type="dxa"/>
            <w:vMerge w:val="continue"/>
            <w:tcBorders>
              <w:left w:val="single" w:color="000000" w:sz="4" w:space="0"/>
              <w:bottom w:val="single" w:color="000000" w:sz="4" w:space="0"/>
              <w:right w:val="single" w:color="000000" w:sz="4" w:space="0"/>
            </w:tcBorders>
          </w:tcPr>
          <w:p>
            <w:pPr>
              <w:widowControl/>
              <w:spacing w:line="240" w:lineRule="auto"/>
              <w:ind w:firstLine="0" w:firstLineChars="0"/>
              <w:jc w:val="center"/>
              <w:textAlignment w:val="center"/>
              <w:rPr>
                <w:rFonts w:cs="Times New Roman"/>
                <w:color w:val="auto"/>
                <w:kern w:val="0"/>
                <w:sz w:val="21"/>
                <w:szCs w:val="21"/>
              </w:rPr>
            </w:pPr>
          </w:p>
        </w:tc>
      </w:tr>
    </w:tbl>
    <w:p>
      <w:pPr>
        <w:spacing w:line="240" w:lineRule="auto"/>
        <w:ind w:firstLine="422"/>
        <w:jc w:val="center"/>
        <w:rPr>
          <w:b/>
          <w:color w:val="auto"/>
          <w:sz w:val="21"/>
          <w:szCs w:val="21"/>
        </w:rPr>
      </w:pPr>
      <w:r>
        <w:rPr>
          <w:rFonts w:hint="eastAsia"/>
          <w:b/>
          <w:color w:val="auto"/>
          <w:sz w:val="21"/>
          <w:szCs w:val="21"/>
        </w:rPr>
        <w:t>本项目固体废物治理措施详见下图</w:t>
      </w:r>
    </w:p>
    <w:tbl>
      <w:tblPr>
        <w:tblStyle w:val="25"/>
        <w:tblW w:w="6623"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310"/>
        <w:gridCol w:w="33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70" w:hRule="atLeast"/>
          <w:jc w:val="center"/>
        </w:trPr>
        <w:tc>
          <w:tcPr>
            <w:tcW w:w="3310" w:type="dxa"/>
          </w:tcPr>
          <w:p>
            <w:pPr>
              <w:spacing w:line="240" w:lineRule="auto"/>
              <w:ind w:firstLine="422"/>
              <w:jc w:val="center"/>
              <w:rPr>
                <w:b/>
                <w:color w:val="auto"/>
                <w:sz w:val="21"/>
                <w:szCs w:val="21"/>
              </w:rPr>
            </w:pPr>
            <w:r>
              <w:rPr>
                <w:rFonts w:hint="eastAsia"/>
                <w:b/>
                <w:color w:val="auto"/>
                <w:sz w:val="21"/>
                <w:szCs w:val="21"/>
              </w:rPr>
              <w:drawing>
                <wp:inline distT="0" distB="0" distL="114300" distR="114300">
                  <wp:extent cx="1571625" cy="1912620"/>
                  <wp:effectExtent l="0" t="0" r="0" b="0"/>
                  <wp:docPr id="45" name="图片 45" descr="a4dac08b4ec92349bfea9b31f49eef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a4dac08b4ec92349bfea9b31f49eef07"/>
                          <pic:cNvPicPr>
                            <a:picLocks noChangeAspect="1"/>
                          </pic:cNvPicPr>
                        </pic:nvPicPr>
                        <pic:blipFill>
                          <a:blip r:embed="rId33"/>
                          <a:srcRect/>
                          <a:stretch>
                            <a:fillRect/>
                          </a:stretch>
                        </pic:blipFill>
                        <pic:spPr>
                          <a:xfrm>
                            <a:off x="0" y="0"/>
                            <a:ext cx="1572466" cy="1913867"/>
                          </a:xfrm>
                          <a:prstGeom prst="rect">
                            <a:avLst/>
                          </a:prstGeom>
                        </pic:spPr>
                      </pic:pic>
                    </a:graphicData>
                  </a:graphic>
                </wp:inline>
              </w:drawing>
            </w:r>
          </w:p>
        </w:tc>
        <w:tc>
          <w:tcPr>
            <w:tcW w:w="3313" w:type="dxa"/>
          </w:tcPr>
          <w:p>
            <w:pPr>
              <w:spacing w:line="240" w:lineRule="auto"/>
              <w:ind w:firstLine="0" w:firstLineChars="0"/>
              <w:rPr>
                <w:b/>
                <w:color w:val="auto"/>
                <w:sz w:val="21"/>
                <w:szCs w:val="21"/>
              </w:rPr>
            </w:pPr>
            <w:r>
              <w:rPr>
                <w:b/>
                <w:color w:val="auto"/>
                <w:sz w:val="21"/>
                <w:szCs w:val="21"/>
              </w:rPr>
              <w:drawing>
                <wp:inline distT="0" distB="0" distL="0" distR="0">
                  <wp:extent cx="1775460" cy="1962150"/>
                  <wp:effectExtent l="0" t="0" r="0" b="0"/>
                  <wp:docPr id="74130501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305012" name="图片 13"/>
                          <pic:cNvPicPr>
                            <a:picLocks noChangeAspect="1" noChangeArrowheads="1"/>
                          </pic:cNvPicPr>
                        </pic:nvPicPr>
                        <pic:blipFill>
                          <a:blip r:embed="rId34"/>
                          <a:srcRect/>
                          <a:stretch>
                            <a:fillRect/>
                          </a:stretch>
                        </pic:blipFill>
                        <pic:spPr>
                          <a:xfrm>
                            <a:off x="0" y="0"/>
                            <a:ext cx="1818174" cy="2008816"/>
                          </a:xfrm>
                          <a:prstGeom prst="rect">
                            <a:avLst/>
                          </a:prstGeom>
                          <a:noFill/>
                          <a:ln>
                            <a:noFill/>
                          </a:ln>
                        </pic:spPr>
                      </pic:pic>
                    </a:graphicData>
                  </a:graphic>
                </wp:inline>
              </w:drawing>
            </w:r>
          </w:p>
        </w:tc>
      </w:tr>
    </w:tbl>
    <w:p>
      <w:pPr>
        <w:pStyle w:val="3"/>
        <w:rPr>
          <w:color w:val="auto"/>
        </w:rPr>
      </w:pPr>
      <w:bookmarkStart w:id="47" w:name="_Toc4202"/>
      <w:r>
        <w:rPr>
          <w:rFonts w:hint="eastAsia"/>
          <w:color w:val="auto"/>
        </w:rPr>
        <w:t>其他环境保护设施</w:t>
      </w:r>
      <w:bookmarkEnd w:id="47"/>
    </w:p>
    <w:p>
      <w:pPr>
        <w:pStyle w:val="4"/>
        <w:spacing w:before="0" w:after="0"/>
        <w:rPr>
          <w:color w:val="auto"/>
        </w:rPr>
      </w:pPr>
      <w:bookmarkStart w:id="48" w:name="_Toc156491647"/>
      <w:bookmarkStart w:id="49" w:name="_Toc164292274"/>
      <w:bookmarkStart w:id="50" w:name="_Toc8300"/>
      <w:r>
        <w:rPr>
          <w:rFonts w:hint="eastAsia"/>
          <w:color w:val="auto"/>
        </w:rPr>
        <w:t>环境管理</w:t>
      </w:r>
      <w:bookmarkEnd w:id="48"/>
      <w:bookmarkEnd w:id="49"/>
      <w:bookmarkEnd w:id="50"/>
    </w:p>
    <w:p>
      <w:pPr>
        <w:ind w:firstLine="480"/>
        <w:rPr>
          <w:color w:val="auto"/>
        </w:rPr>
      </w:pPr>
      <w:r>
        <w:rPr>
          <w:rFonts w:hint="eastAsia"/>
          <w:color w:val="auto"/>
        </w:rPr>
        <w:t>项目制订并落实有效的环境风险防范措施和环境应急预案，建立健全环境事故应急体系。对池体、管道等采取防渗、防腐措施，地面全部采取硬化防渗措施；定期检查废气治理系统的运行情况；制定环境风险应急预案，加强职工的风险防范培训，提高风险防范意识。</w:t>
      </w:r>
    </w:p>
    <w:p>
      <w:pPr>
        <w:ind w:firstLine="480"/>
        <w:rPr>
          <w:color w:val="auto"/>
        </w:rPr>
      </w:pPr>
      <w:r>
        <w:rPr>
          <w:rFonts w:hint="eastAsia"/>
          <w:color w:val="auto"/>
        </w:rPr>
        <w:t>根据本项目特点以及地方环境保护要求，由项目的环保负责人负责巡回监督检查，定期检查环保设施，确保设施正常运行；加强固体废物的管理，确保项目内的固体废物按照本环评提出的要求或国家有关规定进行处理，使固体废物均得到妥善处置。</w:t>
      </w:r>
    </w:p>
    <w:p>
      <w:pPr>
        <w:ind w:firstLine="480"/>
        <w:rPr>
          <w:color w:val="auto"/>
          <w:highlight w:val="yellow"/>
        </w:rPr>
        <w:sectPr>
          <w:pgSz w:w="11906" w:h="16838"/>
          <w:pgMar w:top="1440" w:right="1800" w:bottom="1440" w:left="1800" w:header="851" w:footer="992" w:gutter="0"/>
          <w:cols w:space="425" w:num="1"/>
          <w:docGrid w:type="lines" w:linePitch="312" w:charSpace="0"/>
        </w:sectPr>
      </w:pPr>
    </w:p>
    <w:p>
      <w:pPr>
        <w:pStyle w:val="2"/>
        <w:rPr>
          <w:color w:val="auto"/>
        </w:rPr>
      </w:pPr>
      <w:bookmarkStart w:id="51" w:name="_Toc24771"/>
      <w:r>
        <w:rPr>
          <w:rFonts w:hint="eastAsia"/>
          <w:color w:val="auto"/>
        </w:rPr>
        <w:t>环境影响报告表主要结论与建议及其审批部门审批决定</w:t>
      </w:r>
      <w:bookmarkEnd w:id="51"/>
    </w:p>
    <w:p>
      <w:pPr>
        <w:pStyle w:val="3"/>
        <w:rPr>
          <w:color w:val="auto"/>
        </w:rPr>
      </w:pPr>
      <w:bookmarkStart w:id="52" w:name="_Toc22744"/>
      <w:r>
        <w:rPr>
          <w:rFonts w:hint="eastAsia"/>
          <w:color w:val="auto"/>
        </w:rPr>
        <w:t>环境影响报告书（表）主要结论与建议</w:t>
      </w:r>
      <w:bookmarkEnd w:id="52"/>
    </w:p>
    <w:p>
      <w:pPr>
        <w:pStyle w:val="4"/>
        <w:spacing w:before="0" w:after="0"/>
        <w:rPr>
          <w:color w:val="auto"/>
        </w:rPr>
      </w:pPr>
      <w:bookmarkStart w:id="53" w:name="_Toc164292279"/>
      <w:bookmarkStart w:id="54" w:name="_Toc156491652"/>
      <w:bookmarkStart w:id="55" w:name="_Toc26300"/>
      <w:r>
        <w:rPr>
          <w:rFonts w:hint="eastAsia"/>
          <w:color w:val="auto"/>
        </w:rPr>
        <w:t>选址合理性分析</w:t>
      </w:r>
      <w:bookmarkEnd w:id="53"/>
      <w:bookmarkEnd w:id="54"/>
      <w:bookmarkEnd w:id="55"/>
    </w:p>
    <w:p>
      <w:pPr>
        <w:autoSpaceDE w:val="0"/>
        <w:autoSpaceDN w:val="0"/>
        <w:adjustRightInd w:val="0"/>
        <w:snapToGrid w:val="0"/>
        <w:ind w:firstLine="480"/>
        <w:rPr>
          <w:color w:val="auto"/>
        </w:rPr>
      </w:pPr>
      <w:r>
        <w:rPr>
          <w:rFonts w:hint="eastAsia"/>
          <w:color w:val="auto"/>
        </w:rPr>
        <w:t>本项目选址位于茂名市电白区沙院镇沙院政府后2号仓库之一，为租用原广东中润建材工业有限公司厂房。根据建设单位提供的厂房国有土地使用证（电国用（98）字第00592），项目所在地为工业用地。项目所在的茂名市电白新材料产业园规划已经将项目用地调整为二类工业用地。因此，本项目选址合理。</w:t>
      </w:r>
    </w:p>
    <w:p>
      <w:pPr>
        <w:pStyle w:val="4"/>
        <w:spacing w:before="0" w:after="0"/>
        <w:rPr>
          <w:color w:val="auto"/>
        </w:rPr>
      </w:pPr>
      <w:bookmarkStart w:id="56" w:name="_Toc13910"/>
      <w:bookmarkStart w:id="57" w:name="_Toc156491654"/>
      <w:bookmarkStart w:id="58" w:name="_Toc164292280"/>
      <w:r>
        <w:rPr>
          <w:rFonts w:hint="eastAsia"/>
          <w:color w:val="auto"/>
        </w:rPr>
        <w:t>环境质量现状结论</w:t>
      </w:r>
      <w:bookmarkEnd w:id="56"/>
      <w:bookmarkEnd w:id="57"/>
      <w:bookmarkEnd w:id="58"/>
    </w:p>
    <w:p>
      <w:pPr>
        <w:ind w:firstLine="480"/>
        <w:rPr>
          <w:color w:val="auto"/>
        </w:rPr>
      </w:pPr>
      <w:r>
        <w:rPr>
          <w:rFonts w:hint="eastAsia"/>
          <w:color w:val="auto"/>
        </w:rPr>
        <w:t>（1）2024年茂名市SO</w:t>
      </w:r>
      <w:r>
        <w:rPr>
          <w:rFonts w:hint="eastAsia"/>
          <w:color w:val="auto"/>
          <w:vertAlign w:val="subscript"/>
        </w:rPr>
        <w:t>2</w:t>
      </w:r>
      <w:r>
        <w:rPr>
          <w:rFonts w:hint="eastAsia"/>
          <w:color w:val="auto"/>
        </w:rPr>
        <w:t>、NO</w:t>
      </w:r>
      <w:r>
        <w:rPr>
          <w:rFonts w:hint="eastAsia"/>
          <w:color w:val="auto"/>
          <w:vertAlign w:val="subscript"/>
        </w:rPr>
        <w:t>2</w:t>
      </w:r>
      <w:r>
        <w:rPr>
          <w:rFonts w:hint="eastAsia"/>
          <w:color w:val="auto"/>
        </w:rPr>
        <w:t>、PM</w:t>
      </w:r>
      <w:r>
        <w:rPr>
          <w:rFonts w:hint="eastAsia"/>
          <w:color w:val="auto"/>
          <w:vertAlign w:val="subscript"/>
        </w:rPr>
        <w:t>10</w:t>
      </w:r>
      <w:r>
        <w:rPr>
          <w:rFonts w:hint="eastAsia"/>
          <w:color w:val="auto"/>
        </w:rPr>
        <w:t>、PM</w:t>
      </w:r>
      <w:r>
        <w:rPr>
          <w:rFonts w:hint="eastAsia"/>
          <w:color w:val="auto"/>
          <w:vertAlign w:val="subscript"/>
        </w:rPr>
        <w:t>2.5</w:t>
      </w:r>
      <w:r>
        <w:rPr>
          <w:rFonts w:hint="eastAsia"/>
          <w:color w:val="auto"/>
        </w:rPr>
        <w:t>、CO、O</w:t>
      </w:r>
      <w:r>
        <w:rPr>
          <w:rFonts w:hint="eastAsia"/>
          <w:color w:val="auto"/>
          <w:vertAlign w:val="subscript"/>
        </w:rPr>
        <w:t>3</w:t>
      </w:r>
      <w:r>
        <w:rPr>
          <w:rFonts w:hint="eastAsia"/>
          <w:color w:val="auto"/>
        </w:rPr>
        <w:t>六项基本污染物均达到《环境空气质量标准》（GB 3095-2012）及2018年修改单的二级标准，可见项目所在区域环境空气质量现状达标。</w:t>
      </w:r>
    </w:p>
    <w:p>
      <w:pPr>
        <w:adjustRightInd w:val="0"/>
        <w:snapToGrid w:val="0"/>
        <w:ind w:firstLine="480"/>
        <w:rPr>
          <w:color w:val="auto"/>
        </w:rPr>
      </w:pPr>
      <w:r>
        <w:rPr>
          <w:rFonts w:hint="eastAsia"/>
          <w:color w:val="auto"/>
        </w:rPr>
        <w:t>（2）根据补充检测结果可知，项目所在区域环境空气中的TSP的24小时平均浓度满足《环境空气质量标准》（GB3095-2012）及其2018修改单中的二级标准，且由于项目区域属于达标区，说明项目所在地环境空气质量较好。</w:t>
      </w:r>
    </w:p>
    <w:p>
      <w:pPr>
        <w:widowControl/>
        <w:ind w:firstLine="480"/>
        <w:jc w:val="left"/>
        <w:rPr>
          <w:rFonts w:hint="eastAsia" w:ascii="宋体" w:hAnsi="宋体" w:cs="Times New Roman"/>
          <w:color w:val="auto"/>
          <w:kern w:val="0"/>
          <w:szCs w:val="24"/>
        </w:rPr>
      </w:pPr>
      <w:r>
        <w:rPr>
          <w:rFonts w:hint="eastAsia"/>
          <w:color w:val="auto"/>
        </w:rPr>
        <w:t>（</w:t>
      </w:r>
      <w:r>
        <w:rPr>
          <w:color w:val="auto"/>
        </w:rPr>
        <w:t>3</w:t>
      </w:r>
      <w:r>
        <w:rPr>
          <w:rFonts w:hint="eastAsia"/>
          <w:color w:val="auto"/>
        </w:rPr>
        <w:t>）根据补充检测结果可知，</w:t>
      </w:r>
      <w:r>
        <w:rPr>
          <w:rFonts w:hint="eastAsia" w:ascii="宋体" w:hAnsi="宋体" w:cs="Times New Roman"/>
          <w:color w:val="auto"/>
          <w:kern w:val="0"/>
          <w:szCs w:val="24"/>
        </w:rPr>
        <w:t>项目东南侧</w:t>
      </w:r>
      <w:r>
        <w:rPr>
          <w:rFonts w:hint="eastAsia" w:cs="Times New Roman"/>
          <w:color w:val="auto"/>
          <w:kern w:val="0"/>
          <w:szCs w:val="24"/>
        </w:rPr>
        <w:t>36m</w:t>
      </w:r>
      <w:r>
        <w:rPr>
          <w:rFonts w:hint="eastAsia" w:ascii="宋体" w:hAnsi="宋体" w:cs="Times New Roman"/>
          <w:color w:val="auto"/>
          <w:kern w:val="0"/>
          <w:szCs w:val="24"/>
        </w:rPr>
        <w:t>处高地精神康复医院满足《声环境质量标准》（</w:t>
      </w:r>
      <w:r>
        <w:rPr>
          <w:rFonts w:hint="eastAsia" w:cs="Times New Roman"/>
          <w:color w:val="auto"/>
          <w:kern w:val="0"/>
          <w:szCs w:val="24"/>
        </w:rPr>
        <w:t>GB3096-2008</w:t>
      </w:r>
      <w:r>
        <w:rPr>
          <w:rFonts w:hint="eastAsia" w:ascii="宋体" w:hAnsi="宋体" w:cs="Times New Roman"/>
          <w:color w:val="auto"/>
          <w:kern w:val="0"/>
          <w:szCs w:val="24"/>
        </w:rPr>
        <w:t>）中的</w:t>
      </w:r>
      <w:r>
        <w:rPr>
          <w:rFonts w:hint="eastAsia" w:cs="Times New Roman"/>
          <w:color w:val="auto"/>
          <w:kern w:val="0"/>
          <w:szCs w:val="24"/>
        </w:rPr>
        <w:t>2</w:t>
      </w:r>
      <w:r>
        <w:rPr>
          <w:rFonts w:hint="eastAsia" w:ascii="宋体" w:hAnsi="宋体" w:cs="Times New Roman"/>
          <w:color w:val="auto"/>
          <w:kern w:val="0"/>
          <w:szCs w:val="24"/>
        </w:rPr>
        <w:t>类标准，说明项目所在区域声环境质量较好。</w:t>
      </w:r>
    </w:p>
    <w:p>
      <w:pPr>
        <w:ind w:firstLine="480"/>
        <w:rPr>
          <w:rFonts w:cs="Times New Roman"/>
          <w:color w:val="auto"/>
          <w:szCs w:val="24"/>
        </w:rPr>
      </w:pPr>
      <w:r>
        <w:rPr>
          <w:rFonts w:hint="eastAsia"/>
          <w:color w:val="auto"/>
        </w:rPr>
        <w:t>（4）</w:t>
      </w:r>
      <w:r>
        <w:rPr>
          <w:rFonts w:hint="eastAsia" w:ascii="宋体" w:hAnsi="宋体" w:cs="Times New Roman"/>
          <w:color w:val="auto"/>
          <w:kern w:val="0"/>
          <w:szCs w:val="24"/>
        </w:rPr>
        <w:t>本项目生活污水经三级化粪池预处理后通过市政污水管网进入水东湾新城水质净化厂处理，尾水排入澳内海。根据《广东省近岸海域环境功能区划》（粤府办</w:t>
      </w:r>
      <w:r>
        <w:rPr>
          <w:rFonts w:hint="eastAsia" w:cs="Times New Roman"/>
          <w:color w:val="auto"/>
          <w:kern w:val="0"/>
          <w:szCs w:val="24"/>
        </w:rPr>
        <w:t xml:space="preserve">[1999]68 </w:t>
      </w:r>
      <w:r>
        <w:rPr>
          <w:rFonts w:hint="eastAsia" w:ascii="宋体" w:hAnsi="宋体" w:cs="Times New Roman"/>
          <w:color w:val="auto"/>
          <w:kern w:val="0"/>
          <w:szCs w:val="24"/>
        </w:rPr>
        <w:t>号）规定，澳内海执行《海水水质标准》（</w:t>
      </w:r>
      <w:r>
        <w:rPr>
          <w:rFonts w:hint="eastAsia" w:cs="Times New Roman"/>
          <w:color w:val="auto"/>
          <w:kern w:val="0"/>
          <w:szCs w:val="24"/>
        </w:rPr>
        <w:t>GB3097-1997</w:t>
      </w:r>
      <w:r>
        <w:rPr>
          <w:rFonts w:hint="eastAsia" w:ascii="宋体" w:hAnsi="宋体" w:cs="Times New Roman"/>
          <w:color w:val="auto"/>
          <w:kern w:val="0"/>
          <w:szCs w:val="24"/>
        </w:rPr>
        <w:t>）第三类标准</w:t>
      </w:r>
      <w:r>
        <w:rPr>
          <w:rFonts w:ascii="宋体" w:hAnsi="宋体" w:cs="Times New Roman"/>
          <w:color w:val="auto"/>
          <w:kern w:val="0"/>
          <w:szCs w:val="24"/>
        </w:rPr>
        <w:t>。</w:t>
      </w:r>
    </w:p>
    <w:p>
      <w:pPr>
        <w:autoSpaceDE w:val="0"/>
        <w:autoSpaceDN w:val="0"/>
        <w:adjustRightInd w:val="0"/>
        <w:snapToGrid w:val="0"/>
        <w:ind w:firstLine="480"/>
        <w:rPr>
          <w:rFonts w:hint="eastAsia" w:ascii="宋体" w:hAnsi="宋体" w:cs="Times New Roman"/>
          <w:color w:val="auto"/>
          <w:kern w:val="0"/>
          <w:szCs w:val="24"/>
        </w:rPr>
      </w:pPr>
      <w:r>
        <w:rPr>
          <w:rFonts w:hint="eastAsia" w:ascii="宋体" w:hAnsi="宋体" w:cs="Times New Roman"/>
          <w:bCs/>
          <w:color w:val="auto"/>
          <w:szCs w:val="24"/>
        </w:rPr>
        <w:t>本次地表水环境质量现状评价引用</w:t>
      </w:r>
      <w:r>
        <w:rPr>
          <w:rFonts w:hint="eastAsia" w:ascii="宋体" w:hAnsi="宋体" w:cs="Times New Roman"/>
          <w:color w:val="auto"/>
          <w:szCs w:val="24"/>
        </w:rPr>
        <w:t>茂名市人民政府网站公布的《</w:t>
      </w:r>
      <w:r>
        <w:rPr>
          <w:rFonts w:hint="eastAsia" w:cs="Times New Roman"/>
          <w:color w:val="auto"/>
          <w:szCs w:val="24"/>
        </w:rPr>
        <w:t>2024</w:t>
      </w:r>
      <w:r>
        <w:rPr>
          <w:rFonts w:hint="eastAsia" w:ascii="宋体" w:hAnsi="宋体" w:cs="Times New Roman"/>
          <w:color w:val="auto"/>
          <w:szCs w:val="24"/>
        </w:rPr>
        <w:t>年茂名市生态环境质量简报》（</w:t>
      </w:r>
      <w:r>
        <w:rPr>
          <w:rFonts w:hint="eastAsia" w:cs="Times New Roman"/>
          <w:color w:val="auto"/>
          <w:szCs w:val="24"/>
        </w:rPr>
        <w:t>http://www.maoming.gov.cn/zwgk/zwzl/zdlyxxgkzl/hjbhxxgk/kqhjxx/content/post_1457952.html</w:t>
      </w:r>
      <w:r>
        <w:rPr>
          <w:rFonts w:hint="eastAsia" w:ascii="宋体" w:hAnsi="宋体" w:cs="Times New Roman"/>
          <w:color w:val="auto"/>
          <w:szCs w:val="24"/>
        </w:rPr>
        <w:t>）</w:t>
      </w:r>
      <w:r>
        <w:rPr>
          <w:rFonts w:hint="eastAsia" w:ascii="宋体" w:hAnsi="宋体" w:cs="Times New Roman"/>
          <w:bCs/>
          <w:color w:val="auto"/>
          <w:szCs w:val="24"/>
        </w:rPr>
        <w:t>中结论：“</w:t>
      </w:r>
      <w:r>
        <w:rPr>
          <w:rFonts w:hint="eastAsia" w:cs="Times New Roman"/>
          <w:bCs/>
          <w:color w:val="auto"/>
          <w:szCs w:val="24"/>
        </w:rPr>
        <w:t>2024</w:t>
      </w:r>
      <w:r>
        <w:rPr>
          <w:rFonts w:hint="eastAsia" w:ascii="宋体" w:hAnsi="宋体" w:cs="Times New Roman"/>
          <w:bCs/>
          <w:color w:val="auto"/>
          <w:szCs w:val="24"/>
        </w:rPr>
        <w:t>年，茂名市近岸海域海水水质监测点位</w:t>
      </w:r>
      <w:r>
        <w:rPr>
          <w:rFonts w:hint="eastAsia" w:cs="Times New Roman"/>
          <w:bCs/>
          <w:color w:val="auto"/>
          <w:szCs w:val="24"/>
        </w:rPr>
        <w:t>10</w:t>
      </w:r>
      <w:r>
        <w:rPr>
          <w:rFonts w:hint="eastAsia" w:ascii="宋体" w:hAnsi="宋体" w:cs="Times New Roman"/>
          <w:bCs/>
          <w:color w:val="auto"/>
          <w:szCs w:val="24"/>
        </w:rPr>
        <w:t>个（国控点位）。采用面积法评价，茂名市近岸海域水质优良（一、二类）面积占比</w:t>
      </w:r>
      <w:r>
        <w:rPr>
          <w:rFonts w:hint="eastAsia" w:cs="Times New Roman"/>
          <w:bCs/>
          <w:color w:val="auto"/>
          <w:szCs w:val="24"/>
        </w:rPr>
        <w:t>99.3%</w:t>
      </w:r>
      <w:r>
        <w:rPr>
          <w:rFonts w:hint="eastAsia" w:ascii="宋体" w:hAnsi="宋体" w:cs="Times New Roman"/>
          <w:bCs/>
          <w:color w:val="auto"/>
          <w:szCs w:val="24"/>
        </w:rPr>
        <w:t>，排名全省第四、粤西第一。一类、二类、四类海水面积比例分别为</w:t>
      </w:r>
      <w:r>
        <w:rPr>
          <w:rFonts w:hint="eastAsia" w:cs="Times New Roman"/>
          <w:bCs/>
          <w:color w:val="auto"/>
          <w:szCs w:val="24"/>
        </w:rPr>
        <w:t>93.5%</w:t>
      </w:r>
      <w:r>
        <w:rPr>
          <w:rFonts w:hint="eastAsia" w:ascii="宋体" w:hAnsi="宋体" w:cs="Times New Roman"/>
          <w:bCs/>
          <w:color w:val="auto"/>
          <w:szCs w:val="24"/>
        </w:rPr>
        <w:t>、</w:t>
      </w:r>
      <w:r>
        <w:rPr>
          <w:rFonts w:hint="eastAsia" w:cs="Times New Roman"/>
          <w:bCs/>
          <w:color w:val="auto"/>
          <w:szCs w:val="24"/>
        </w:rPr>
        <w:t>5.8%</w:t>
      </w:r>
      <w:r>
        <w:rPr>
          <w:rFonts w:hint="eastAsia" w:ascii="宋体" w:hAnsi="宋体" w:cs="Times New Roman"/>
          <w:bCs/>
          <w:color w:val="auto"/>
          <w:szCs w:val="24"/>
        </w:rPr>
        <w:t>、</w:t>
      </w:r>
      <w:r>
        <w:rPr>
          <w:rFonts w:hint="eastAsia" w:cs="Times New Roman"/>
          <w:bCs/>
          <w:color w:val="auto"/>
          <w:szCs w:val="24"/>
        </w:rPr>
        <w:t>0.7%</w:t>
      </w:r>
      <w:r>
        <w:rPr>
          <w:rFonts w:hint="eastAsia" w:ascii="宋体" w:hAnsi="宋体" w:cs="Times New Roman"/>
          <w:bCs/>
          <w:color w:val="auto"/>
          <w:szCs w:val="24"/>
        </w:rPr>
        <w:t>、无三类、劣四类水质。与上年相比，全市近岸海域年均优良比例上升</w:t>
      </w:r>
      <w:r>
        <w:rPr>
          <w:rFonts w:hint="eastAsia" w:cs="Times New Roman"/>
          <w:bCs/>
          <w:color w:val="auto"/>
          <w:szCs w:val="24"/>
        </w:rPr>
        <w:t>1.0</w:t>
      </w:r>
      <w:r>
        <w:rPr>
          <w:rFonts w:hint="eastAsia" w:ascii="宋体" w:hAnsi="宋体" w:cs="Times New Roman"/>
          <w:bCs/>
          <w:color w:val="auto"/>
          <w:szCs w:val="24"/>
        </w:rPr>
        <w:t>个百分点。一类比例上升</w:t>
      </w:r>
      <w:r>
        <w:rPr>
          <w:rFonts w:hint="eastAsia" w:cs="Times New Roman"/>
          <w:bCs/>
          <w:color w:val="auto"/>
          <w:szCs w:val="24"/>
        </w:rPr>
        <w:t>18.9</w:t>
      </w:r>
      <w:r>
        <w:rPr>
          <w:rFonts w:hint="eastAsia" w:ascii="宋体" w:hAnsi="宋体" w:cs="Times New Roman"/>
          <w:bCs/>
          <w:color w:val="auto"/>
          <w:szCs w:val="24"/>
        </w:rPr>
        <w:t>个百分点。”因此，</w:t>
      </w:r>
      <w:r>
        <w:rPr>
          <w:rFonts w:hint="eastAsia" w:ascii="宋体" w:hAnsi="宋体" w:cs="Times New Roman"/>
          <w:color w:val="auto"/>
          <w:kern w:val="0"/>
          <w:szCs w:val="24"/>
        </w:rPr>
        <w:t>澳内海符合《海水水质标准》（</w:t>
      </w:r>
      <w:r>
        <w:rPr>
          <w:rFonts w:hint="eastAsia" w:cs="Times New Roman"/>
          <w:color w:val="auto"/>
          <w:kern w:val="0"/>
          <w:szCs w:val="24"/>
        </w:rPr>
        <w:t>GB3097-1997</w:t>
      </w:r>
      <w:r>
        <w:rPr>
          <w:rFonts w:hint="eastAsia" w:ascii="宋体" w:hAnsi="宋体" w:cs="Times New Roman"/>
          <w:color w:val="auto"/>
          <w:kern w:val="0"/>
          <w:szCs w:val="24"/>
        </w:rPr>
        <w:t>）第三类标准</w:t>
      </w:r>
      <w:r>
        <w:rPr>
          <w:rFonts w:ascii="宋体" w:hAnsi="宋体" w:cs="Times New Roman"/>
          <w:color w:val="auto"/>
          <w:kern w:val="0"/>
          <w:szCs w:val="24"/>
        </w:rPr>
        <w:t>。</w:t>
      </w:r>
    </w:p>
    <w:p>
      <w:pPr>
        <w:ind w:firstLine="482"/>
        <w:rPr>
          <w:b/>
          <w:color w:val="auto"/>
        </w:rPr>
      </w:pPr>
      <w:r>
        <w:rPr>
          <w:rFonts w:hint="eastAsia"/>
          <w:b/>
          <w:color w:val="auto"/>
        </w:rPr>
        <w:t>（一）施工期</w:t>
      </w:r>
    </w:p>
    <w:p>
      <w:pPr>
        <w:ind w:firstLine="480"/>
        <w:rPr>
          <w:color w:val="auto"/>
        </w:rPr>
      </w:pPr>
      <w:r>
        <w:rPr>
          <w:rFonts w:hint="eastAsia"/>
          <w:color w:val="auto"/>
        </w:rPr>
        <w:t>本项目租赁已建成厂房，生产设备已安装完成，施工期已结束，因此不对施工期环境影响进行评价分析。</w:t>
      </w:r>
    </w:p>
    <w:p>
      <w:pPr>
        <w:ind w:firstLine="482"/>
        <w:rPr>
          <w:b/>
          <w:color w:val="auto"/>
        </w:rPr>
      </w:pPr>
      <w:r>
        <w:rPr>
          <w:rFonts w:hint="eastAsia"/>
          <w:b/>
          <w:color w:val="auto"/>
        </w:rPr>
        <w:t>（二）营运期</w:t>
      </w:r>
    </w:p>
    <w:p>
      <w:pPr>
        <w:ind w:firstLine="480"/>
        <w:rPr>
          <w:color w:val="auto"/>
        </w:rPr>
      </w:pPr>
      <w:r>
        <w:rPr>
          <w:rFonts w:hint="eastAsia"/>
          <w:color w:val="auto"/>
        </w:rPr>
        <w:t>1、大气环境影响分析</w:t>
      </w:r>
    </w:p>
    <w:p>
      <w:pPr>
        <w:snapToGrid w:val="0"/>
        <w:ind w:firstLine="480"/>
        <w:rPr>
          <w:rFonts w:hint="eastAsia" w:ascii="宋体" w:hAnsi="宋体" w:cs="Times New Roman"/>
          <w:color w:val="auto"/>
          <w:kern w:val="0"/>
          <w:szCs w:val="24"/>
        </w:rPr>
      </w:pPr>
      <w:r>
        <w:rPr>
          <w:rFonts w:ascii="宋体" w:hAnsi="宋体" w:cs="Times New Roman"/>
          <w:color w:val="auto"/>
          <w:szCs w:val="24"/>
        </w:rPr>
        <w:t>项目产生的污染物</w:t>
      </w:r>
      <w:r>
        <w:rPr>
          <w:rFonts w:hint="eastAsia" w:ascii="宋体" w:hAnsi="宋体" w:cs="Times New Roman"/>
          <w:color w:val="auto"/>
          <w:szCs w:val="24"/>
        </w:rPr>
        <w:t>总</w:t>
      </w:r>
      <w:r>
        <w:rPr>
          <w:rFonts w:cs="Times New Roman"/>
          <w:color w:val="auto"/>
          <w:szCs w:val="24"/>
        </w:rPr>
        <w:t>VOCs</w:t>
      </w:r>
      <w:r>
        <w:rPr>
          <w:rFonts w:hint="eastAsia" w:ascii="宋体" w:hAnsi="宋体" w:cs="Times New Roman"/>
          <w:bCs/>
          <w:color w:val="auto"/>
          <w:szCs w:val="24"/>
        </w:rPr>
        <w:t>、二甲苯排放浓度可达到广东省《固定污染源挥发性有机物综合排放标准》（</w:t>
      </w:r>
      <w:r>
        <w:rPr>
          <w:rFonts w:hint="eastAsia" w:cs="Times New Roman"/>
          <w:bCs/>
          <w:color w:val="auto"/>
          <w:szCs w:val="24"/>
        </w:rPr>
        <w:t>DB44/ 2367</w:t>
      </w:r>
      <w:r>
        <w:rPr>
          <w:rFonts w:hint="eastAsia" w:ascii="宋体" w:hAnsi="宋体" w:cs="Times New Roman"/>
          <w:bCs/>
          <w:color w:val="auto"/>
          <w:szCs w:val="24"/>
        </w:rPr>
        <w:t>—</w:t>
      </w:r>
      <w:r>
        <w:rPr>
          <w:rFonts w:hint="eastAsia" w:cs="Times New Roman"/>
          <w:bCs/>
          <w:color w:val="auto"/>
          <w:szCs w:val="24"/>
        </w:rPr>
        <w:t>2022</w:t>
      </w:r>
      <w:r>
        <w:rPr>
          <w:rFonts w:hint="eastAsia" w:ascii="宋体" w:hAnsi="宋体" w:cs="Times New Roman"/>
          <w:bCs/>
          <w:color w:val="auto"/>
          <w:szCs w:val="24"/>
        </w:rPr>
        <w:t>）表</w:t>
      </w:r>
      <w:r>
        <w:rPr>
          <w:rFonts w:hint="eastAsia" w:cs="Times New Roman"/>
          <w:bCs/>
          <w:color w:val="auto"/>
          <w:szCs w:val="24"/>
        </w:rPr>
        <w:t>1</w:t>
      </w:r>
      <w:r>
        <w:rPr>
          <w:rFonts w:hint="eastAsia" w:ascii="宋体" w:hAnsi="宋体" w:cs="Times New Roman"/>
          <w:bCs/>
          <w:color w:val="auto"/>
          <w:szCs w:val="24"/>
        </w:rPr>
        <w:t>中有机废气的最高允许浓度限值</w:t>
      </w:r>
      <w:r>
        <w:rPr>
          <w:rFonts w:hint="eastAsia" w:ascii="宋体" w:hAnsi="宋体" w:cs="Times New Roman"/>
          <w:color w:val="auto"/>
          <w:kern w:val="0"/>
          <w:szCs w:val="24"/>
        </w:rPr>
        <w:t>；</w:t>
      </w:r>
      <w:r>
        <w:rPr>
          <w:rFonts w:ascii="宋体" w:hAnsi="宋体" w:cs="Times New Roman"/>
          <w:color w:val="auto"/>
          <w:kern w:val="0"/>
          <w:szCs w:val="24"/>
        </w:rPr>
        <w:t>厂区</w:t>
      </w:r>
      <w:r>
        <w:rPr>
          <w:rFonts w:hint="eastAsia" w:ascii="宋体" w:hAnsi="宋体" w:cs="Times New Roman"/>
          <w:color w:val="auto"/>
          <w:kern w:val="0"/>
          <w:szCs w:val="24"/>
        </w:rPr>
        <w:t>内</w:t>
      </w:r>
      <w:r>
        <w:rPr>
          <w:rFonts w:ascii="宋体" w:hAnsi="宋体" w:cs="Times New Roman"/>
          <w:color w:val="auto"/>
          <w:kern w:val="0"/>
          <w:szCs w:val="24"/>
        </w:rPr>
        <w:t>有机废气控制浓度</w:t>
      </w:r>
      <w:r>
        <w:rPr>
          <w:rFonts w:hint="eastAsia" w:ascii="宋体" w:hAnsi="宋体" w:cs="Times New Roman"/>
          <w:color w:val="auto"/>
          <w:kern w:val="0"/>
          <w:szCs w:val="24"/>
        </w:rPr>
        <w:t>可符合</w:t>
      </w:r>
      <w:r>
        <w:rPr>
          <w:rFonts w:ascii="宋体" w:hAnsi="宋体" w:cs="Times New Roman"/>
          <w:color w:val="auto"/>
          <w:kern w:val="0"/>
          <w:szCs w:val="24"/>
        </w:rPr>
        <w:t>广东省《固定污染源挥发性有机物综合排放标准》（</w:t>
      </w:r>
      <w:r>
        <w:rPr>
          <w:rFonts w:cs="Times New Roman"/>
          <w:color w:val="auto"/>
          <w:kern w:val="0"/>
          <w:szCs w:val="24"/>
        </w:rPr>
        <w:t>DB44/ 2367—2022</w:t>
      </w:r>
      <w:r>
        <w:rPr>
          <w:rFonts w:ascii="宋体" w:hAnsi="宋体" w:cs="Times New Roman"/>
          <w:color w:val="auto"/>
          <w:kern w:val="0"/>
          <w:szCs w:val="24"/>
        </w:rPr>
        <w:t>）表</w:t>
      </w:r>
      <w:r>
        <w:rPr>
          <w:rFonts w:cs="Times New Roman"/>
          <w:color w:val="auto"/>
          <w:kern w:val="0"/>
          <w:szCs w:val="24"/>
        </w:rPr>
        <w:t>3</w:t>
      </w:r>
      <w:r>
        <w:rPr>
          <w:rFonts w:ascii="宋体" w:hAnsi="宋体" w:cs="Times New Roman"/>
          <w:color w:val="auto"/>
          <w:kern w:val="0"/>
          <w:szCs w:val="24"/>
        </w:rPr>
        <w:t>厂区内</w:t>
      </w:r>
      <w:r>
        <w:rPr>
          <w:rFonts w:cs="Times New Roman"/>
          <w:color w:val="auto"/>
          <w:kern w:val="0"/>
          <w:szCs w:val="24"/>
        </w:rPr>
        <w:t>VOCs</w:t>
      </w:r>
      <w:r>
        <w:rPr>
          <w:rFonts w:ascii="宋体" w:hAnsi="宋体" w:cs="Times New Roman"/>
          <w:color w:val="auto"/>
          <w:kern w:val="0"/>
          <w:szCs w:val="24"/>
        </w:rPr>
        <w:t>无组织排放限值</w:t>
      </w:r>
      <w:r>
        <w:rPr>
          <w:rFonts w:hint="eastAsia" w:ascii="宋体" w:hAnsi="宋体" w:cs="Times New Roman"/>
          <w:color w:val="auto"/>
          <w:kern w:val="0"/>
          <w:szCs w:val="24"/>
        </w:rPr>
        <w:t>。</w:t>
      </w:r>
      <w:r>
        <w:rPr>
          <w:rFonts w:hint="eastAsia" w:ascii="宋体" w:hAnsi="宋体" w:cs="Times New Roman"/>
          <w:color w:val="auto"/>
          <w:szCs w:val="24"/>
        </w:rPr>
        <w:t>颗粒物</w:t>
      </w:r>
      <w:r>
        <w:rPr>
          <w:rFonts w:hint="eastAsia" w:ascii="宋体" w:hAnsi="宋体" w:cs="Times New Roman"/>
          <w:bCs/>
          <w:color w:val="auto"/>
          <w:szCs w:val="24"/>
        </w:rPr>
        <w:t>排放可达到《关于印发〈工业炉窑大气污染综合治理方案〉的通知》（环大气〔</w:t>
      </w:r>
      <w:r>
        <w:rPr>
          <w:rFonts w:hint="eastAsia" w:cs="Times New Roman"/>
          <w:bCs/>
          <w:color w:val="auto"/>
          <w:szCs w:val="24"/>
        </w:rPr>
        <w:t>2019</w:t>
      </w:r>
      <w:r>
        <w:rPr>
          <w:rFonts w:hint="eastAsia" w:ascii="宋体" w:hAnsi="宋体" w:cs="Times New Roman"/>
          <w:bCs/>
          <w:color w:val="auto"/>
          <w:szCs w:val="24"/>
        </w:rPr>
        <w:t>〕</w:t>
      </w:r>
      <w:r>
        <w:rPr>
          <w:rFonts w:hint="eastAsia" w:cs="Times New Roman"/>
          <w:bCs/>
          <w:color w:val="auto"/>
          <w:szCs w:val="24"/>
        </w:rPr>
        <w:t>56</w:t>
      </w:r>
      <w:r>
        <w:rPr>
          <w:rFonts w:hint="eastAsia" w:ascii="宋体" w:hAnsi="宋体" w:cs="Times New Roman"/>
          <w:bCs/>
          <w:color w:val="auto"/>
          <w:szCs w:val="24"/>
        </w:rPr>
        <w:t>号）重点区域排放限值和广东省《大气污染物排放限值》（</w:t>
      </w:r>
      <w:r>
        <w:rPr>
          <w:rFonts w:hint="eastAsia" w:cs="Times New Roman"/>
          <w:bCs/>
          <w:color w:val="auto"/>
          <w:szCs w:val="24"/>
        </w:rPr>
        <w:t>DB44/27-2001</w:t>
      </w:r>
      <w:r>
        <w:rPr>
          <w:rFonts w:hint="eastAsia" w:ascii="宋体" w:hAnsi="宋体" w:cs="Times New Roman"/>
          <w:bCs/>
          <w:color w:val="auto"/>
          <w:szCs w:val="24"/>
        </w:rPr>
        <w:t>）第二时段二级标准（排放速率按</w:t>
      </w:r>
      <w:r>
        <w:rPr>
          <w:rFonts w:hint="eastAsia" w:cs="Times New Roman"/>
          <w:bCs/>
          <w:color w:val="auto"/>
          <w:szCs w:val="24"/>
        </w:rPr>
        <w:t>50%</w:t>
      </w:r>
      <w:r>
        <w:rPr>
          <w:rFonts w:hint="eastAsia" w:ascii="宋体" w:hAnsi="宋体" w:cs="Times New Roman"/>
          <w:bCs/>
          <w:color w:val="auto"/>
          <w:szCs w:val="24"/>
        </w:rPr>
        <w:t>执行）的较严值</w:t>
      </w:r>
      <w:r>
        <w:rPr>
          <w:rFonts w:hint="eastAsia" w:ascii="宋体" w:hAnsi="宋体" w:cs="Times New Roman"/>
          <w:color w:val="auto"/>
          <w:szCs w:val="24"/>
        </w:rPr>
        <w:t>；</w:t>
      </w:r>
      <w:r>
        <w:rPr>
          <w:rFonts w:hint="eastAsia" w:cs="Times New Roman"/>
          <w:color w:val="auto"/>
          <w:szCs w:val="24"/>
        </w:rPr>
        <w:t>SO</w:t>
      </w:r>
      <w:r>
        <w:rPr>
          <w:rFonts w:hint="eastAsia" w:cs="Times New Roman"/>
          <w:color w:val="auto"/>
          <w:szCs w:val="24"/>
          <w:vertAlign w:val="subscript"/>
        </w:rPr>
        <w:t>2</w:t>
      </w:r>
      <w:r>
        <w:rPr>
          <w:rFonts w:hint="eastAsia" w:ascii="宋体" w:hAnsi="宋体" w:cs="Times New Roman"/>
          <w:color w:val="auto"/>
          <w:szCs w:val="24"/>
        </w:rPr>
        <w:t>、</w:t>
      </w:r>
      <w:r>
        <w:rPr>
          <w:rFonts w:hint="eastAsia" w:cs="Times New Roman"/>
          <w:color w:val="auto"/>
          <w:szCs w:val="24"/>
        </w:rPr>
        <w:t>NOx</w:t>
      </w:r>
      <w:r>
        <w:rPr>
          <w:rFonts w:hint="eastAsia" w:ascii="宋体" w:hAnsi="宋体" w:cs="Times New Roman"/>
          <w:color w:val="auto"/>
          <w:szCs w:val="24"/>
        </w:rPr>
        <w:t>排放可达到《关于印发〈工业炉窑大气污染综合治理方案〉的通知》（环大气〔</w:t>
      </w:r>
      <w:r>
        <w:rPr>
          <w:rFonts w:hint="eastAsia" w:cs="Times New Roman"/>
          <w:color w:val="auto"/>
          <w:szCs w:val="24"/>
        </w:rPr>
        <w:t>2019</w:t>
      </w:r>
      <w:r>
        <w:rPr>
          <w:rFonts w:hint="eastAsia" w:ascii="宋体" w:hAnsi="宋体" w:cs="Times New Roman"/>
          <w:color w:val="auto"/>
          <w:szCs w:val="24"/>
        </w:rPr>
        <w:t>〕</w:t>
      </w:r>
      <w:r>
        <w:rPr>
          <w:rFonts w:hint="eastAsia" w:cs="Times New Roman"/>
          <w:color w:val="auto"/>
          <w:szCs w:val="24"/>
        </w:rPr>
        <w:t>56</w:t>
      </w:r>
      <w:r>
        <w:rPr>
          <w:rFonts w:hint="eastAsia" w:ascii="宋体" w:hAnsi="宋体" w:cs="Times New Roman"/>
          <w:color w:val="auto"/>
          <w:szCs w:val="24"/>
        </w:rPr>
        <w:t>号）重点区域排放限值要求；</w:t>
      </w:r>
      <w:r>
        <w:rPr>
          <w:rFonts w:hint="eastAsia" w:ascii="宋体" w:hAnsi="宋体" w:cs="Times New Roman"/>
          <w:color w:val="auto"/>
          <w:kern w:val="0"/>
          <w:szCs w:val="24"/>
        </w:rPr>
        <w:t>臭气浓度可</w:t>
      </w:r>
      <w:r>
        <w:rPr>
          <w:rFonts w:ascii="宋体" w:hAnsi="宋体" w:cs="Times New Roman"/>
          <w:color w:val="auto"/>
          <w:kern w:val="0"/>
          <w:szCs w:val="24"/>
        </w:rPr>
        <w:t>达到</w:t>
      </w:r>
      <w:r>
        <w:rPr>
          <w:rFonts w:ascii="宋体" w:hAnsi="宋体" w:cs="Times New Roman"/>
          <w:color w:val="auto"/>
          <w:szCs w:val="24"/>
        </w:rPr>
        <w:t>《恶臭污染物排放标准》（</w:t>
      </w:r>
      <w:r>
        <w:rPr>
          <w:rFonts w:cs="Times New Roman"/>
          <w:color w:val="auto"/>
          <w:szCs w:val="24"/>
        </w:rPr>
        <w:t>GB14554-93</w:t>
      </w:r>
      <w:r>
        <w:rPr>
          <w:rFonts w:ascii="宋体" w:hAnsi="宋体" w:cs="Times New Roman"/>
          <w:color w:val="auto"/>
          <w:szCs w:val="24"/>
        </w:rPr>
        <w:t>）表</w:t>
      </w:r>
      <w:r>
        <w:rPr>
          <w:rFonts w:cs="Times New Roman"/>
          <w:color w:val="auto"/>
          <w:szCs w:val="24"/>
        </w:rPr>
        <w:t>2</w:t>
      </w:r>
      <w:r>
        <w:rPr>
          <w:rFonts w:ascii="宋体" w:hAnsi="宋体" w:cs="Times New Roman"/>
          <w:color w:val="auto"/>
          <w:szCs w:val="24"/>
        </w:rPr>
        <w:t>排放标准</w:t>
      </w:r>
      <w:r>
        <w:rPr>
          <w:rFonts w:hint="eastAsia" w:ascii="宋体" w:hAnsi="宋体" w:cs="Times New Roman"/>
          <w:color w:val="auto"/>
          <w:szCs w:val="24"/>
        </w:rPr>
        <w:t>；</w:t>
      </w:r>
      <w:r>
        <w:rPr>
          <w:rFonts w:hint="eastAsia" w:ascii="宋体" w:hAnsi="宋体" w:cs="Times New Roman"/>
          <w:bCs/>
          <w:color w:val="auto"/>
          <w:szCs w:val="24"/>
        </w:rPr>
        <w:t>厂界无组织排放的颗粒物、锰及其化合物、镍及其化合物、</w:t>
      </w:r>
      <w:r>
        <w:rPr>
          <w:rFonts w:hint="eastAsia" w:cs="Times New Roman"/>
          <w:color w:val="auto"/>
          <w:szCs w:val="24"/>
        </w:rPr>
        <w:t>SO</w:t>
      </w:r>
      <w:r>
        <w:rPr>
          <w:rFonts w:hint="eastAsia" w:cs="Times New Roman"/>
          <w:color w:val="auto"/>
          <w:szCs w:val="24"/>
          <w:vertAlign w:val="subscript"/>
        </w:rPr>
        <w:t>2</w:t>
      </w:r>
      <w:r>
        <w:rPr>
          <w:rFonts w:hint="eastAsia" w:ascii="宋体" w:hAnsi="宋体" w:cs="Times New Roman"/>
          <w:color w:val="auto"/>
          <w:szCs w:val="24"/>
        </w:rPr>
        <w:t>、</w:t>
      </w:r>
      <w:r>
        <w:rPr>
          <w:rFonts w:hint="eastAsia" w:cs="Times New Roman"/>
          <w:color w:val="auto"/>
          <w:szCs w:val="24"/>
        </w:rPr>
        <w:t>NOx</w:t>
      </w:r>
      <w:r>
        <w:rPr>
          <w:rFonts w:hint="eastAsia" w:ascii="宋体" w:hAnsi="宋体" w:cs="Times New Roman"/>
          <w:color w:val="auto"/>
          <w:kern w:val="0"/>
          <w:szCs w:val="24"/>
        </w:rPr>
        <w:t>可达到广东省《大气污染物排放限值》（</w:t>
      </w:r>
      <w:r>
        <w:rPr>
          <w:rFonts w:hint="eastAsia" w:cs="Times New Roman"/>
          <w:color w:val="auto"/>
          <w:kern w:val="0"/>
          <w:szCs w:val="24"/>
        </w:rPr>
        <w:t>DB44/27-2001</w:t>
      </w:r>
      <w:r>
        <w:rPr>
          <w:rFonts w:hint="eastAsia" w:ascii="宋体" w:hAnsi="宋体" w:cs="Times New Roman"/>
          <w:color w:val="auto"/>
          <w:kern w:val="0"/>
          <w:szCs w:val="24"/>
        </w:rPr>
        <w:t>）第二时段无组织排放监控浓度限值，臭气浓度可</w:t>
      </w:r>
      <w:r>
        <w:rPr>
          <w:rFonts w:ascii="宋体" w:hAnsi="宋体" w:cs="Times New Roman"/>
          <w:color w:val="auto"/>
          <w:kern w:val="0"/>
          <w:szCs w:val="24"/>
        </w:rPr>
        <w:t>达到</w:t>
      </w:r>
      <w:r>
        <w:rPr>
          <w:rFonts w:ascii="宋体" w:hAnsi="宋体" w:cs="Times New Roman"/>
          <w:color w:val="auto"/>
          <w:szCs w:val="24"/>
        </w:rPr>
        <w:t>《恶臭污染物排放标准》（</w:t>
      </w:r>
      <w:r>
        <w:rPr>
          <w:rFonts w:cs="Times New Roman"/>
          <w:color w:val="auto"/>
          <w:szCs w:val="24"/>
        </w:rPr>
        <w:t>GB14554-93</w:t>
      </w:r>
      <w:r>
        <w:rPr>
          <w:rFonts w:ascii="宋体" w:hAnsi="宋体" w:cs="Times New Roman"/>
          <w:color w:val="auto"/>
          <w:szCs w:val="24"/>
        </w:rPr>
        <w:t>）表</w:t>
      </w:r>
      <w:r>
        <w:rPr>
          <w:rFonts w:cs="Times New Roman"/>
          <w:color w:val="auto"/>
          <w:szCs w:val="24"/>
        </w:rPr>
        <w:t>1</w:t>
      </w:r>
      <w:r>
        <w:rPr>
          <w:rFonts w:ascii="宋体" w:hAnsi="宋体" w:cs="Times New Roman"/>
          <w:color w:val="auto"/>
          <w:szCs w:val="24"/>
        </w:rPr>
        <w:t>新扩改建设项目恶臭污染</w:t>
      </w:r>
      <w:r>
        <w:rPr>
          <w:rFonts w:hint="eastAsia" w:ascii="宋体" w:hAnsi="宋体" w:cs="Times New Roman"/>
          <w:color w:val="auto"/>
          <w:szCs w:val="24"/>
        </w:rPr>
        <w:t>物</w:t>
      </w:r>
      <w:r>
        <w:rPr>
          <w:rFonts w:ascii="宋体" w:hAnsi="宋体" w:cs="Times New Roman"/>
          <w:color w:val="auto"/>
          <w:szCs w:val="24"/>
        </w:rPr>
        <w:t>厂界二级标准</w:t>
      </w:r>
      <w:r>
        <w:rPr>
          <w:rFonts w:hint="eastAsia" w:ascii="宋体" w:hAnsi="宋体" w:cs="Times New Roman"/>
          <w:color w:val="auto"/>
          <w:kern w:val="0"/>
          <w:szCs w:val="24"/>
        </w:rPr>
        <w:t>。</w:t>
      </w:r>
    </w:p>
    <w:p>
      <w:pPr>
        <w:snapToGrid w:val="0"/>
        <w:ind w:firstLine="480" w:firstLineChars="0"/>
        <w:rPr>
          <w:rFonts w:cs="Times New Roman"/>
          <w:color w:val="auto"/>
          <w:szCs w:val="24"/>
        </w:rPr>
      </w:pPr>
      <w:r>
        <w:rPr>
          <w:rFonts w:hint="eastAsia" w:ascii="宋体" w:hAnsi="宋体" w:cs="Times New Roman"/>
          <w:color w:val="auto"/>
          <w:szCs w:val="24"/>
        </w:rPr>
        <w:t>厨房油烟经静电油烟净化器处理后，油烟排放可达到《饮食业油烟排放标准（试行）》（</w:t>
      </w:r>
      <w:r>
        <w:rPr>
          <w:rFonts w:hint="eastAsia" w:cs="Times New Roman"/>
          <w:color w:val="auto"/>
          <w:szCs w:val="24"/>
        </w:rPr>
        <w:t>GB18483-2001</w:t>
      </w:r>
      <w:r>
        <w:rPr>
          <w:rFonts w:hint="eastAsia" w:ascii="宋体" w:hAnsi="宋体" w:cs="Times New Roman"/>
          <w:color w:val="auto"/>
          <w:szCs w:val="24"/>
        </w:rPr>
        <w:t>）标准要求，</w:t>
      </w:r>
      <w:r>
        <w:rPr>
          <w:rFonts w:ascii="宋体" w:hAnsi="宋体" w:cs="Times New Roman"/>
          <w:color w:val="auto"/>
          <w:szCs w:val="24"/>
        </w:rPr>
        <w:t>实现达标排放。在项目四周较空旷的地形环境下，高空排放后废气扩散效果明显，不会出现废气积聚现象</w:t>
      </w:r>
      <w:r>
        <w:rPr>
          <w:rFonts w:hint="eastAsia" w:ascii="宋体" w:hAnsi="宋体" w:cs="Times New Roman"/>
          <w:color w:val="auto"/>
          <w:szCs w:val="24"/>
        </w:rPr>
        <w:t>。因此，本项目</w:t>
      </w:r>
      <w:r>
        <w:rPr>
          <w:rFonts w:ascii="宋体" w:hAnsi="宋体" w:cs="Times New Roman"/>
          <w:color w:val="auto"/>
          <w:szCs w:val="24"/>
        </w:rPr>
        <w:t>废气</w:t>
      </w:r>
      <w:r>
        <w:rPr>
          <w:rFonts w:hint="eastAsia" w:ascii="宋体" w:hAnsi="宋体" w:cs="Times New Roman"/>
          <w:color w:val="auto"/>
          <w:szCs w:val="24"/>
        </w:rPr>
        <w:t>达标</w:t>
      </w:r>
      <w:r>
        <w:rPr>
          <w:rFonts w:ascii="宋体" w:hAnsi="宋体" w:cs="Times New Roman"/>
          <w:color w:val="auto"/>
          <w:szCs w:val="24"/>
        </w:rPr>
        <w:t>排放</w:t>
      </w:r>
      <w:r>
        <w:rPr>
          <w:rFonts w:hint="eastAsia" w:ascii="宋体" w:hAnsi="宋体" w:cs="Times New Roman"/>
          <w:color w:val="auto"/>
          <w:szCs w:val="24"/>
        </w:rPr>
        <w:t>情况下</w:t>
      </w:r>
      <w:r>
        <w:rPr>
          <w:rFonts w:ascii="宋体" w:hAnsi="宋体" w:cs="Times New Roman"/>
          <w:color w:val="auto"/>
          <w:szCs w:val="24"/>
        </w:rPr>
        <w:t>不会对环境敏感点造成明显影响。</w:t>
      </w:r>
    </w:p>
    <w:p>
      <w:pPr>
        <w:ind w:firstLine="480"/>
        <w:rPr>
          <w:color w:val="auto"/>
        </w:rPr>
      </w:pPr>
      <w:r>
        <w:rPr>
          <w:rFonts w:hint="eastAsia"/>
          <w:color w:val="auto"/>
        </w:rPr>
        <w:t>2、废水影响分析</w:t>
      </w:r>
    </w:p>
    <w:p>
      <w:pPr>
        <w:pStyle w:val="77"/>
        <w:adjustRightInd w:val="0"/>
        <w:ind w:firstLine="480"/>
        <w:rPr>
          <w:color w:val="auto"/>
          <w:kern w:val="0"/>
        </w:rPr>
      </w:pPr>
      <w:r>
        <w:rPr>
          <w:rFonts w:hint="eastAsia" w:ascii="宋体" w:hAnsi="宋体"/>
          <w:bCs/>
          <w:color w:val="auto"/>
        </w:rPr>
        <w:t>本项目生活污水经“三级化粪池”处理达到《水污染物排放限值》（</w:t>
      </w:r>
      <w:r>
        <w:rPr>
          <w:rFonts w:hint="eastAsia"/>
          <w:bCs/>
          <w:color w:val="auto"/>
        </w:rPr>
        <w:t>DB44/26-2001</w:t>
      </w:r>
      <w:r>
        <w:rPr>
          <w:rFonts w:hint="eastAsia" w:ascii="宋体" w:hAnsi="宋体"/>
          <w:bCs/>
          <w:color w:val="auto"/>
        </w:rPr>
        <w:t>）第二时段三级标准，通过市政污水管网进入水东湾新城水质净化厂处理。生产废水（喷淋塔和水帘柜更换的废水）近期达到</w:t>
      </w:r>
      <w:r>
        <w:rPr>
          <w:rFonts w:ascii="宋体" w:hAnsi="宋体"/>
          <w:color w:val="auto"/>
          <w:spacing w:val="16"/>
        </w:rPr>
        <w:t>茂名华清水务有限公司</w:t>
      </w:r>
      <w:r>
        <w:rPr>
          <w:rFonts w:hint="eastAsia" w:ascii="宋体" w:hAnsi="宋体"/>
          <w:color w:val="auto"/>
          <w:spacing w:val="16"/>
        </w:rPr>
        <w:t>的进水标准，</w:t>
      </w:r>
      <w:r>
        <w:rPr>
          <w:rFonts w:hint="eastAsia" w:ascii="宋体" w:hAnsi="宋体"/>
          <w:color w:val="auto"/>
          <w:spacing w:val="-3"/>
        </w:rPr>
        <w:t>通过槽罐车输送到</w:t>
      </w:r>
      <w:r>
        <w:rPr>
          <w:rFonts w:ascii="宋体" w:hAnsi="宋体"/>
          <w:color w:val="auto"/>
          <w:spacing w:val="16"/>
        </w:rPr>
        <w:t>茂名华清水务有限公司</w:t>
      </w:r>
      <w:r>
        <w:rPr>
          <w:rFonts w:ascii="宋体" w:hAnsi="宋体"/>
          <w:color w:val="auto"/>
          <w:spacing w:val="-1"/>
        </w:rPr>
        <w:t>集中处理</w:t>
      </w:r>
      <w:r>
        <w:rPr>
          <w:rFonts w:hint="eastAsia" w:ascii="宋体" w:hAnsi="宋体"/>
          <w:color w:val="auto"/>
          <w:spacing w:val="-1"/>
        </w:rPr>
        <w:t>，远期待电白新材料产业园区污水处理厂建设完成后，达到园区污水处理厂的进水标准进入园区污水处理厂处理。</w:t>
      </w:r>
    </w:p>
    <w:p>
      <w:pPr>
        <w:pStyle w:val="77"/>
        <w:adjustRightInd w:val="0"/>
        <w:ind w:firstLine="480"/>
        <w:rPr>
          <w:color w:val="auto"/>
          <w:kern w:val="0"/>
        </w:rPr>
      </w:pPr>
      <w:r>
        <w:rPr>
          <w:rFonts w:hint="eastAsia" w:ascii="宋体" w:hAnsi="宋体"/>
          <w:color w:val="auto"/>
          <w:kern w:val="0"/>
        </w:rPr>
        <w:t>因此，项目生活污水和生产废水经处理达标后，对周围水环境产生影响较小。</w:t>
      </w:r>
    </w:p>
    <w:p>
      <w:pPr>
        <w:ind w:firstLine="480"/>
        <w:rPr>
          <w:color w:val="auto"/>
        </w:rPr>
      </w:pPr>
      <w:r>
        <w:rPr>
          <w:rFonts w:hint="eastAsia"/>
          <w:color w:val="auto"/>
        </w:rPr>
        <w:t>3、固体废物影响分析</w:t>
      </w:r>
    </w:p>
    <w:p>
      <w:pPr>
        <w:ind w:firstLine="480"/>
        <w:rPr>
          <w:color w:val="auto"/>
        </w:rPr>
      </w:pPr>
      <w:r>
        <w:rPr>
          <w:rFonts w:hint="eastAsia"/>
          <w:color w:val="auto"/>
        </w:rPr>
        <w:t>生活垃圾交由环卫部门清运。</w:t>
      </w:r>
    </w:p>
    <w:p>
      <w:pPr>
        <w:ind w:firstLine="480"/>
        <w:rPr>
          <w:color w:val="auto"/>
        </w:rPr>
      </w:pPr>
      <w:r>
        <w:rPr>
          <w:rFonts w:hint="eastAsia"/>
          <w:color w:val="auto"/>
        </w:rPr>
        <w:t>一般工业固废：一般废包装材料、边角料、金属碎屑、焊渣、自然沉降粉尘、废滤筒及废布袋分类收集后暂存在一般固废间，定期交由有处理能力的单位处理。</w:t>
      </w:r>
    </w:p>
    <w:p>
      <w:pPr>
        <w:ind w:firstLine="480"/>
        <w:rPr>
          <w:color w:val="auto"/>
        </w:rPr>
      </w:pPr>
      <w:r>
        <w:rPr>
          <w:rFonts w:hint="eastAsia"/>
          <w:color w:val="auto"/>
        </w:rPr>
        <w:t>危险废物：废机油、废液压油、废乳化油、沾染乳化油的金属碎屑、废机油桶、废液压油桶、废乳化油桶、废清洗剂桶、废青铜油漆桶、废青铜漆稀释剂桶、废拉丝漆桶、废拉丝漆稀释剂桶、废亚克力光油桶、废亚克力光油稀释剂桶、废纯水性色漆桶、废纯水性清漆桶、废粘合剂桶、漆渣、废干式过滤器介质、废活性炭、废清抹布、废拉丝布、废含油抹布及手套分类收集后暂存在危废间，定期交肇庆市新荣昌环保股份有限公司处置。</w:t>
      </w:r>
    </w:p>
    <w:p>
      <w:pPr>
        <w:ind w:firstLine="480"/>
        <w:rPr>
          <w:color w:val="auto"/>
        </w:rPr>
      </w:pPr>
      <w:r>
        <w:rPr>
          <w:rFonts w:hint="eastAsia"/>
          <w:color w:val="auto"/>
        </w:rPr>
        <w:t>项目的固体废弃物能够实现资源化、无害化和减量化，对周围环境不产生影响，也不会产生二次污染，对周围环境影响不大。</w:t>
      </w:r>
    </w:p>
    <w:p>
      <w:pPr>
        <w:ind w:firstLine="480"/>
        <w:rPr>
          <w:color w:val="auto"/>
        </w:rPr>
      </w:pPr>
      <w:r>
        <w:rPr>
          <w:rFonts w:hint="eastAsia"/>
          <w:color w:val="auto"/>
        </w:rPr>
        <w:t>4、噪声</w:t>
      </w:r>
    </w:p>
    <w:p>
      <w:pPr>
        <w:ind w:firstLine="480"/>
        <w:rPr>
          <w:color w:val="auto"/>
        </w:rPr>
      </w:pPr>
      <w:r>
        <w:rPr>
          <w:rFonts w:hint="eastAsia"/>
          <w:color w:val="auto"/>
        </w:rPr>
        <w:t>预测结果可知，本项目的噪声经过隔声、消声、减震等措施治理和自然衰减后，东、南、西、北厂界噪声可达到《工业企业厂界环境噪声排放标准》（GB12348-2008）3类区标准；距离项目东南侧36m处的高地精神康复医院声环境质量可达到《声环境质量标准》（GB3096-2008）中的2类标准，预计达标排放的噪声对周围环境影响不大。</w:t>
      </w:r>
    </w:p>
    <w:p>
      <w:pPr>
        <w:pStyle w:val="4"/>
        <w:rPr>
          <w:color w:val="auto"/>
        </w:rPr>
      </w:pPr>
      <w:bookmarkStart w:id="59" w:name="_Toc156491656"/>
      <w:bookmarkStart w:id="60" w:name="_Toc164292282"/>
      <w:bookmarkStart w:id="61" w:name="_Toc2214"/>
      <w:r>
        <w:rPr>
          <w:rFonts w:hint="eastAsia"/>
          <w:color w:val="auto"/>
        </w:rPr>
        <w:t>综合评价结论</w:t>
      </w:r>
      <w:bookmarkEnd w:id="59"/>
      <w:bookmarkEnd w:id="60"/>
      <w:bookmarkEnd w:id="61"/>
    </w:p>
    <w:p>
      <w:pPr>
        <w:ind w:firstLine="480"/>
        <w:rPr>
          <w:color w:val="auto"/>
        </w:rPr>
      </w:pPr>
      <w:r>
        <w:rPr>
          <w:rFonts w:hint="eastAsia"/>
          <w:color w:val="auto"/>
        </w:rPr>
        <w:t>项目营运期间产生的各种污染物如能按本报告提出的污染防治措施进行治理，保证污染治理工程与主体工程如实正常运行，且加强污染治理措施和设备的运营管理，则本项目的建设不会使当地水环境、环境空气、声环境发生现状质量级别的改变。因此，从环境保护角度考虑，建设项目环境影响可行。</w:t>
      </w:r>
    </w:p>
    <w:p>
      <w:pPr>
        <w:pStyle w:val="3"/>
        <w:rPr>
          <w:color w:val="auto"/>
        </w:rPr>
      </w:pPr>
      <w:bookmarkStart w:id="62" w:name="_Toc1937"/>
      <w:r>
        <w:rPr>
          <w:rFonts w:hint="eastAsia"/>
          <w:color w:val="auto"/>
        </w:rPr>
        <w:t>审批部门审批决定及环评批复落实情况</w:t>
      </w:r>
      <w:bookmarkEnd w:id="62"/>
    </w:p>
    <w:p>
      <w:pPr>
        <w:ind w:firstLine="480"/>
        <w:rPr>
          <w:rFonts w:cs="Times New Roman"/>
          <w:color w:val="auto"/>
          <w:szCs w:val="24"/>
        </w:rPr>
        <w:sectPr>
          <w:pgSz w:w="11906" w:h="16838"/>
          <w:pgMar w:top="1440" w:right="1800" w:bottom="1440" w:left="1800" w:header="851" w:footer="992" w:gutter="0"/>
          <w:cols w:space="425" w:num="1"/>
          <w:docGrid w:type="lines" w:linePitch="312" w:charSpace="0"/>
        </w:sectPr>
      </w:pPr>
      <w:r>
        <w:rPr>
          <w:rFonts w:hint="eastAsia"/>
          <w:color w:val="auto"/>
        </w:rPr>
        <w:t>根据茂名市生态环境局电白分局</w:t>
      </w:r>
      <w:r>
        <w:rPr>
          <w:rFonts w:hint="eastAsia" w:ascii="宋体" w:hAnsi="宋体" w:cs="Times New Roman"/>
          <w:color w:val="auto"/>
          <w:szCs w:val="24"/>
        </w:rPr>
        <w:t>《关于茂名市富临门科技有限公司年产3000套金属大门建设项目环境影响报告表的批复》（茂环（电白）审</w:t>
      </w:r>
      <w:r>
        <w:rPr>
          <w:rFonts w:hint="eastAsia" w:cs="Times New Roman"/>
          <w:color w:val="auto"/>
          <w:szCs w:val="24"/>
        </w:rPr>
        <w:t>[2025]16</w:t>
      </w:r>
      <w:r>
        <w:rPr>
          <w:rFonts w:hint="eastAsia" w:ascii="宋体" w:hAnsi="宋体" w:cs="Times New Roman"/>
          <w:color w:val="auto"/>
          <w:szCs w:val="24"/>
        </w:rPr>
        <w:t>号）</w:t>
      </w:r>
      <w:r>
        <w:rPr>
          <w:rFonts w:hint="eastAsia"/>
          <w:color w:val="auto"/>
        </w:rPr>
        <w:t>，落实情况如下表：</w:t>
      </w:r>
    </w:p>
    <w:p>
      <w:pPr>
        <w:pStyle w:val="37"/>
        <w:rPr>
          <w:color w:val="auto"/>
        </w:rPr>
      </w:pPr>
      <w:r>
        <w:rPr>
          <w:rFonts w:hint="eastAsia"/>
          <w:color w:val="auto"/>
        </w:rPr>
        <w:t xml:space="preserve">表 </w:t>
      </w:r>
      <w:r>
        <w:rPr>
          <w:color w:val="auto"/>
        </w:rPr>
        <w:fldChar w:fldCharType="begin"/>
      </w:r>
      <w:r>
        <w:rPr>
          <w:color w:val="auto"/>
        </w:rPr>
        <w:instrText xml:space="preserve"> </w:instrText>
      </w:r>
      <w:r>
        <w:rPr>
          <w:rFonts w:hint="eastAsia"/>
          <w:color w:val="auto"/>
        </w:rPr>
        <w:instrText xml:space="preserve">STYLEREF 2 \s</w:instrText>
      </w:r>
      <w:r>
        <w:rPr>
          <w:color w:val="auto"/>
        </w:rPr>
        <w:instrText xml:space="preserve"> </w:instrText>
      </w:r>
      <w:r>
        <w:rPr>
          <w:color w:val="auto"/>
        </w:rPr>
        <w:fldChar w:fldCharType="separate"/>
      </w:r>
      <w:r>
        <w:rPr>
          <w:color w:val="auto"/>
        </w:rPr>
        <w:t>5.3</w:t>
      </w:r>
      <w:r>
        <w:rPr>
          <w:color w:val="auto"/>
        </w:rPr>
        <w:fldChar w:fldCharType="end"/>
      </w:r>
      <w:r>
        <w:rPr>
          <w:color w:val="auto"/>
        </w:rPr>
        <w:noBreakHyphen/>
      </w:r>
      <w:r>
        <w:rPr>
          <w:color w:val="auto"/>
        </w:rPr>
        <w:fldChar w:fldCharType="begin"/>
      </w:r>
      <w:r>
        <w:rPr>
          <w:color w:val="auto"/>
        </w:rPr>
        <w:instrText xml:space="preserve"> </w:instrText>
      </w:r>
      <w:r>
        <w:rPr>
          <w:rFonts w:hint="eastAsia"/>
          <w:color w:val="auto"/>
        </w:rPr>
        <w:instrText xml:space="preserve">SEQ 表 \* ARABIC \s 2</w:instrText>
      </w:r>
      <w:r>
        <w:rPr>
          <w:color w:val="auto"/>
        </w:rPr>
        <w:instrText xml:space="preserve"> </w:instrText>
      </w:r>
      <w:r>
        <w:rPr>
          <w:color w:val="auto"/>
        </w:rPr>
        <w:fldChar w:fldCharType="separate"/>
      </w:r>
      <w:r>
        <w:rPr>
          <w:color w:val="auto"/>
        </w:rPr>
        <w:t>1</w:t>
      </w:r>
      <w:r>
        <w:rPr>
          <w:color w:val="auto"/>
        </w:rPr>
        <w:fldChar w:fldCharType="end"/>
      </w:r>
      <w:r>
        <w:rPr>
          <w:color w:val="auto"/>
        </w:rPr>
        <w:t xml:space="preserve"> </w:t>
      </w:r>
      <w:r>
        <w:rPr>
          <w:rFonts w:hint="eastAsia"/>
          <w:color w:val="auto"/>
        </w:rPr>
        <w:t>环评批复落实情况表</w:t>
      </w:r>
    </w:p>
    <w:tbl>
      <w:tblPr>
        <w:tblStyle w:val="25"/>
        <w:tblW w:w="1417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08"/>
        <w:gridCol w:w="6339"/>
        <w:gridCol w:w="9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trPr>
        <w:tc>
          <w:tcPr>
            <w:tcW w:w="6908" w:type="dxa"/>
            <w:vAlign w:val="center"/>
          </w:tcPr>
          <w:p>
            <w:pPr>
              <w:pStyle w:val="33"/>
              <w:rPr>
                <w:rFonts w:cs="Times New Roman"/>
                <w:b/>
                <w:color w:val="auto"/>
              </w:rPr>
            </w:pPr>
            <w:r>
              <w:rPr>
                <w:rFonts w:cs="Times New Roman"/>
                <w:b/>
                <w:color w:val="auto"/>
              </w:rPr>
              <w:t>环评批复</w:t>
            </w:r>
          </w:p>
        </w:tc>
        <w:tc>
          <w:tcPr>
            <w:tcW w:w="6339" w:type="dxa"/>
            <w:vAlign w:val="center"/>
          </w:tcPr>
          <w:p>
            <w:pPr>
              <w:pStyle w:val="33"/>
              <w:rPr>
                <w:rFonts w:cs="Times New Roman"/>
                <w:b/>
                <w:color w:val="auto"/>
              </w:rPr>
            </w:pPr>
            <w:r>
              <w:rPr>
                <w:rFonts w:cs="Times New Roman"/>
                <w:b/>
                <w:color w:val="auto"/>
              </w:rPr>
              <w:t>实际情况</w:t>
            </w:r>
          </w:p>
        </w:tc>
        <w:tc>
          <w:tcPr>
            <w:tcW w:w="927" w:type="dxa"/>
            <w:vAlign w:val="center"/>
          </w:tcPr>
          <w:p>
            <w:pPr>
              <w:pStyle w:val="33"/>
              <w:rPr>
                <w:rFonts w:cs="Times New Roman"/>
                <w:b/>
                <w:color w:val="auto"/>
              </w:rPr>
            </w:pPr>
            <w:r>
              <w:rPr>
                <w:rFonts w:cs="Times New Roman"/>
                <w:b/>
                <w:color w:val="auto"/>
              </w:rPr>
              <w:t>符合性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trPr>
        <w:tc>
          <w:tcPr>
            <w:tcW w:w="6908" w:type="dxa"/>
            <w:vAlign w:val="center"/>
          </w:tcPr>
          <w:p>
            <w:pPr>
              <w:pStyle w:val="33"/>
              <w:jc w:val="both"/>
              <w:rPr>
                <w:rFonts w:cs="Times New Roman"/>
                <w:color w:val="auto"/>
              </w:rPr>
            </w:pPr>
            <w:r>
              <w:rPr>
                <w:rFonts w:cs="Times New Roman"/>
                <w:color w:val="auto"/>
              </w:rPr>
              <w:t>一、</w:t>
            </w:r>
            <w:r>
              <w:rPr>
                <w:rFonts w:hint="eastAsia" w:cs="Times New Roman"/>
                <w:color w:val="auto"/>
              </w:rPr>
              <w:t>茂名市富临门科技有限公司年产3000套金属大门建设项目建设地点为茂名市电白区沙院镇沙院政府后2号仓库之一，地理坐标：东经110度57分21.385秒，北纬21度29分43.645秒。项目总投资110万元，其中环保投资30万元。项目租用已建成厂房建设，占地面积5100平方米，建筑面积4862.36平方</w:t>
            </w:r>
            <w:r>
              <w:rPr>
                <w:rFonts w:cs="Times New Roman"/>
                <w:color w:val="auto"/>
              </w:rPr>
              <w:t>米。</w:t>
            </w:r>
            <w:r>
              <w:rPr>
                <w:rFonts w:hint="eastAsia" w:cs="Times New Roman"/>
                <w:color w:val="auto"/>
              </w:rPr>
              <w:t>项目主要从事金属门窗制造，设置有开料及折弯区、刨槽及冲孔区、焊框区、胶合区、门扇封花区、焊罗马头区、打磨区、清抹区、喷粉及固化区、喷漆及烘干区1、喷漆及烘干区2、拉丝区、装配及成品调试区等。项目主要生产工艺为：①不锈钢烤漆大门：开料→刨槽→折弯→冲孔→焊框→胶合→门扇封花→焊罗马头→打磨→清抹→喷粉→固化→一次喷漆（纯水性色漆或青铜漆）、烘干→二次喷漆（拉丝漆）、晾干→拉丝→三次喷漆（纯水性清漆或亚克力光油）、烘干→装配→成品调试→入库→出货；②不锈钢喷粉大门：开料→刨槽→折弯→冲孔→焊框→胶合→门扇封花→焊罗马头→打磨→清抹→喷粉→固化→装配→成品调试→入库→出货。主要生产设备有：剪板机、激光切割机、折弯机、冲床、焊机、手磨机、喷漆房、喷粉房、烤漆炉等。主要原辅材料有：不锈钢卷带430吨/年、铝材150吨/年、合页23400个/年、粘合剂3吨/年、清洗剂0.75吨/年、粉末涂料5.2吨/年、青铜油漆0.135吨/年、青铜油漆稀释剂0.045吨/年、拉丝漆1.8吨/年、拉丝漆稀释剂0.6吨/年、亚克力光油0.135吨/年、亚克力光油稀释剂0.045吨/年、纯水性色漆及清漆各1.27吨/年等。项目投产后年产3000套不锈钢金属大门。</w:t>
            </w:r>
          </w:p>
        </w:tc>
        <w:tc>
          <w:tcPr>
            <w:tcW w:w="6339" w:type="dxa"/>
            <w:vAlign w:val="center"/>
          </w:tcPr>
          <w:p>
            <w:pPr>
              <w:pStyle w:val="33"/>
              <w:rPr>
                <w:rFonts w:cs="Times New Roman"/>
                <w:color w:val="auto"/>
              </w:rPr>
            </w:pPr>
            <w:r>
              <w:rPr>
                <w:rFonts w:cs="Times New Roman"/>
                <w:color w:val="auto"/>
              </w:rPr>
              <w:t>项目建设地址、建设内容等与批复一致。</w:t>
            </w:r>
          </w:p>
        </w:tc>
        <w:tc>
          <w:tcPr>
            <w:tcW w:w="927" w:type="dxa"/>
            <w:vAlign w:val="center"/>
          </w:tcPr>
          <w:p>
            <w:pPr>
              <w:pStyle w:val="33"/>
              <w:rPr>
                <w:rFonts w:cs="Times New Roman"/>
                <w:color w:val="auto"/>
              </w:rPr>
            </w:pPr>
            <w:r>
              <w:rPr>
                <w:rFonts w:cs="Times New Roman"/>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trPr>
        <w:tc>
          <w:tcPr>
            <w:tcW w:w="6908" w:type="dxa"/>
            <w:vAlign w:val="center"/>
          </w:tcPr>
          <w:p>
            <w:pPr>
              <w:pStyle w:val="33"/>
              <w:jc w:val="both"/>
              <w:rPr>
                <w:rFonts w:cs="Times New Roman"/>
                <w:color w:val="auto"/>
              </w:rPr>
            </w:pPr>
            <w:r>
              <w:rPr>
                <w:rFonts w:cs="Times New Roman"/>
                <w:color w:val="auto"/>
              </w:rPr>
              <w:t>二、项目建设和运营中还应重点做好以下工作：</w:t>
            </w:r>
          </w:p>
          <w:p>
            <w:pPr>
              <w:pStyle w:val="33"/>
              <w:jc w:val="both"/>
              <w:rPr>
                <w:rFonts w:cs="Times New Roman"/>
                <w:color w:val="auto"/>
              </w:rPr>
            </w:pPr>
            <w:r>
              <w:rPr>
                <w:rFonts w:cs="Times New Roman"/>
                <w:color w:val="auto"/>
              </w:rPr>
              <w:t>(一)</w:t>
            </w:r>
            <w:r>
              <w:rPr>
                <w:rFonts w:hint="eastAsia" w:cs="Times New Roman"/>
                <w:color w:val="auto"/>
              </w:rPr>
              <w:t>严格落实废气污染防治措施。生产环节尽可能使用环保型原辅材料。1号喷漆房喷漆废气经密闭负压收集后经水帘柜预处理，与喷粉固化废气、危废间废气、调漆废气、1号烤漆炉烘干废气及液化石油气燃烧废气经密闭负压收集后一并引至“水喷淋+干式过滤+二级活性炭吸附”废气处理装置（TA001）处理，处理达标后的尾气通过15米高排气筒（DA001）高空排放；2号喷漆房喷漆废气经密闭负压收集后经水帘柜预处理，与胶合有机废气、清抹有机废气、2号烤漆炉烘干废气及液化石油气燃烧废气经密闭负压收集后一并引至“水喷淋+干式过滤+二级活性炭吸附”废气处理装置（TA002）处理，处理达标后的尾气通过15米高排气筒（DA002）高空排放；焊接烟尘通过移动式烟尘净化器收集处理后排放；打磨工序产生的打磨粉尘收集经移动式简易布袋除尘器处理后无组织形式排放；喷粉粉尘通过半密闭柜集气装置收集，进入滤筒除尘器处理后无组织排放；厨房油烟废气收集经过静电油烟净化器处理达标后，引至楼顶排放；通过加强车间通风等措施减少废气无组织排放。</w:t>
            </w:r>
          </w:p>
          <w:p>
            <w:pPr>
              <w:pStyle w:val="33"/>
              <w:jc w:val="both"/>
              <w:rPr>
                <w:rFonts w:cs="Times New Roman"/>
                <w:color w:val="auto"/>
              </w:rPr>
            </w:pPr>
            <w:r>
              <w:rPr>
                <w:rFonts w:hint="eastAsia" w:cs="Times New Roman"/>
                <w:color w:val="auto"/>
              </w:rPr>
              <w:t>有组织排放的非甲烷总烃、总挥发性有机物、苯系物（二甲苯）排放浓度执行广东省《固定污染源挥发性有机物综合排放标准》（DB44/ 2367—2022）表 1 中有机废气的最高允许浓度限值；颗粒物排放浓度执行《关于印发〈工业炉窑大气污染综合治理方案〉的通知》（环大气〔2019〕56 号）重点区域排放限值和广东省《大气污染物排放限值》（DB44/27-2001）第二时段二级标准（排放速率按 50%执行）的较严值；二氧化硫、氮氧化物排放浓度执行《关于印发〈工业炉窑大气污染综合治理方案〉的通知》（环大气〔2019〕56 号）重点区域排放限值要求；烟气黑度执行《工业炉窑大气污染物排放标准》（GB9078-1996）表 2 二类区其他炉窑排放限值；臭气浓度执行《恶臭污染物排放标准》（GB14554-93）表 2 对应的标准。厂区内非甲烷总烃无组织排放执行广东省《固定污染源挥发性有机物综合排放标准》（DB44/2367-2022）表 3 厂区内挥发性有机物无组织排放限值；厂界无组织排放的颗粒物、二氧化硫、氮氧化物、锰及其化合物、镍及其化合物排放浓度执行广东省《大气污染物排放限值》（DB44/27-2001）第二时段无组织排放监控浓度限值；无组织排放的臭气浓度执行《恶臭污染物排放标准》（GB 14554-93）中的表 1 中厂界新改扩建二级标准；厨房油烟执行《饮食业油烟排放标准》（GB18483-2001）小型规模的排放标准。</w:t>
            </w:r>
          </w:p>
          <w:p>
            <w:pPr>
              <w:pStyle w:val="33"/>
              <w:jc w:val="both"/>
              <w:rPr>
                <w:rFonts w:cs="Times New Roman"/>
                <w:color w:val="auto"/>
              </w:rPr>
            </w:pPr>
            <w:r>
              <w:rPr>
                <w:rFonts w:cs="Times New Roman"/>
                <w:color w:val="auto"/>
              </w:rPr>
              <w:t>(二)</w:t>
            </w:r>
            <w:r>
              <w:rPr>
                <w:rFonts w:hint="eastAsia" w:cs="Times New Roman"/>
                <w:color w:val="auto"/>
              </w:rPr>
              <w:t>严格落实水污染防治措施。生活污水经三级化粪池预处理达标后，通过市政污水管网汇入水东湾新城水质净化厂处理；近期喷淋塔更换废水及水帘柜更换废水达到茂名华清水务有限公司的进水标准后，通过槽罐车外运至茂名华清水务有限公司处理，远期电白新材料产业园区污水处理厂建设完成后，达到园区污水处理厂的进水标准排入园区污水处理厂深度处理。须遵循严格规范管理要求，认真做好槽罐车废水外运工作，建立完整转运台账。生活污水排放执行广东省《水污染物排放限值》（DB44/26-2001）第二时段三级标准及水东湾新城水质净化厂进水水质标准较严值。</w:t>
            </w:r>
          </w:p>
          <w:p>
            <w:pPr>
              <w:pStyle w:val="33"/>
              <w:jc w:val="both"/>
              <w:rPr>
                <w:rFonts w:cs="Times New Roman"/>
                <w:color w:val="auto"/>
              </w:rPr>
            </w:pPr>
            <w:r>
              <w:rPr>
                <w:rFonts w:cs="Times New Roman"/>
                <w:color w:val="auto"/>
              </w:rPr>
              <w:t>(三)</w:t>
            </w:r>
            <w:r>
              <w:rPr>
                <w:rFonts w:hint="eastAsia" w:cs="Times New Roman"/>
                <w:color w:val="auto"/>
              </w:rPr>
              <w:t>严格落实噪声污染防治措施。剪板机、冲床、手磨机等各种机械设备运行产生机械噪声，通过对设备进行合理布局、选用低噪声设备、安装减振垫、设置隔音门等有效隔音降噪措施，同时加强设备日常维护保养，确保厂界噪声符合《工业企业厂界环境噪声排放标准》(GB12348-2008)中3类标准限值。</w:t>
            </w:r>
          </w:p>
          <w:p>
            <w:pPr>
              <w:pStyle w:val="33"/>
              <w:jc w:val="both"/>
              <w:rPr>
                <w:rFonts w:cs="Times New Roman"/>
                <w:color w:val="auto"/>
              </w:rPr>
            </w:pPr>
            <w:r>
              <w:rPr>
                <w:rFonts w:cs="Times New Roman"/>
                <w:color w:val="auto"/>
              </w:rPr>
              <w:t>(四)</w:t>
            </w:r>
            <w:r>
              <w:rPr>
                <w:rFonts w:hint="eastAsia" w:cs="Times New Roman"/>
                <w:color w:val="auto"/>
              </w:rPr>
              <w:t>严格落实固体废物分类处置和综合利用措施。废机油、废液压油、废乳化油、沾染乳化油的金属碎屑、废原辅料包装桶、漆渣、废干式过滤器介质、废活性炭、废清抹布、废拉丝布、含油废抹布及手套等危险废物收集后，暂存于危废暂存间，定期交由有资质单位处置；废包装材料、金属碎屑和边角料、收集的粉尘、焊渣、废滤筒及废布袋暂存于一般固废暂存间，定期交由专业回收单位处理；生活垃圾交由环卫部门清运处理。项目一般工业固废执行《一般工业固体废物贮存和填埋污染控制标准》（GB18599-2020）；危险废物应执行《危险废物贮存污染控制标准》（GB18597-2023）管理要求。</w:t>
            </w:r>
          </w:p>
          <w:p>
            <w:pPr>
              <w:pStyle w:val="33"/>
              <w:jc w:val="both"/>
              <w:rPr>
                <w:rFonts w:cs="Times New Roman"/>
                <w:color w:val="auto"/>
              </w:rPr>
            </w:pPr>
            <w:r>
              <w:rPr>
                <w:rFonts w:cs="Times New Roman"/>
                <w:color w:val="auto"/>
              </w:rPr>
              <w:t>(五)</w:t>
            </w:r>
            <w:r>
              <w:rPr>
                <w:rFonts w:hint="eastAsia" w:cs="Times New Roman"/>
                <w:color w:val="auto"/>
              </w:rPr>
              <w:t>本项目建成后，废气主要污染物挥发性有机物、氮氧化物排放量分别为0.4088 吨/年、0.0684吨/年，其中挥发性有机物从2021年茂名普天商贸发展有限公司挥发性有机物减排量剩余总量中等量替代、氮氧化物从茂名市2021年老旧机动车氮氧化物减排量剩余总量中等量替代。</w:t>
            </w:r>
          </w:p>
        </w:tc>
        <w:tc>
          <w:tcPr>
            <w:tcW w:w="6339" w:type="dxa"/>
            <w:vAlign w:val="center"/>
          </w:tcPr>
          <w:p>
            <w:pPr>
              <w:pStyle w:val="33"/>
              <w:rPr>
                <w:rFonts w:cs="Times New Roman"/>
                <w:color w:val="auto"/>
              </w:rPr>
            </w:pPr>
            <w:r>
              <w:rPr>
                <w:rFonts w:cs="Times New Roman"/>
                <w:color w:val="auto"/>
              </w:rPr>
              <w:t>已落实</w:t>
            </w:r>
            <w:r>
              <w:rPr>
                <w:rFonts w:cs="Times New Roman"/>
                <w:color w:val="auto"/>
                <w:szCs w:val="21"/>
              </w:rPr>
              <w:t>。（一）</w:t>
            </w:r>
            <w:r>
              <w:rPr>
                <w:rFonts w:hint="eastAsia" w:cs="Times New Roman"/>
                <w:color w:val="auto"/>
              </w:rPr>
              <w:t>1号喷漆房喷漆废气经密闭负压收集后经水帘柜预处理，与喷粉固化废气、危废间废气、调漆废气、1号烤漆炉烘干废气、胶合有机废气及液化石油气燃烧废气经密闭负压收集后一并引至“水喷淋+干式过滤+二级活性炭吸附”废气处理装置（TA001）处理，处理达标后的尾气通过15米高排气筒（DA001）高空排放；2号喷漆房喷漆废气经密闭负压收集后经水帘柜预处理，与清抹有机废气、2号烤漆炉烘干废气及液化石油气燃烧废气经密闭负压收集后一并引至“水喷淋+干式过滤+二级活性炭吸附”废气处理装置（TA002）处理，处理达标后的尾气通过15米高排气筒（DA002）高空排放；焊接烟尘通过移动式烟尘净化器收集处理后排放；打磨工序产生的打磨粉尘收集经移动式简易布袋除尘器处理后无组织形式排放；喷粉粉尘通过半密闭柜集气装置收集，进入滤筒除尘器处理后无组织排放；厨房油烟废气收集经过静电油烟净化器处理达标后，引至楼顶排放；通过加强车间通风等措施减少废气无组织排放。有组织排放的非甲烷总烃、总挥发性有机物、苯系物（二甲苯）排放浓度执行广东省《固定污染源挥发性有机物综合排放标准》（DB44/ 2367—2022）表 1 中有机废气的最高允许浓度限值；颗粒物排放浓度执行《关于印发〈工业炉窑大气污染综合治理方案〉的通知》（环大气〔2019〕56 号）重点区域排放限值和广东省《大气污染物排放限值》（DB44/27-2001）第二时段二级标准（排放速率按 50%执行）的较严值；二氧化硫、氮氧化物排放浓度执行《关于印发〈工业炉窑大气污染综合治理方案〉的通知》（环大气〔2019〕56 号）重点区域排放限值要求；烟气黑度执行《工业炉窑大气污染物排放标准》（GB9078-1996）表 2 二类区其他炉窑排放限值；臭气浓度执行《恶臭污染物排放标准》（GB14554-93）表 2 对应的标准。厂区内非甲烷总烃无组织排放执行广东省《固定污染源挥发性有机物综合排放标准》（DB44/2367-2022）表 3 厂区内挥发性有机物无组织排放限值；厂界无组织排放的颗粒物、二氧化硫、氮氧化物、锰及其化合物、镍及其化合物排放浓度执行广东省《大气污染物排放限值》（DB44/27-2001）第二时段无组织排放监控浓度限值；无组织排放的臭气浓度执行《恶臭污染物排放标准》（GB 14554-93）中的表1中厂界新改扩建二级标准；厨房油烟执行《饮食业油烟排放标准》（GB18483-2001）小型规模的排放标准。</w:t>
            </w:r>
          </w:p>
          <w:p>
            <w:pPr>
              <w:pStyle w:val="33"/>
              <w:jc w:val="both"/>
              <w:rPr>
                <w:rFonts w:cs="Times New Roman"/>
                <w:color w:val="auto"/>
              </w:rPr>
            </w:pPr>
            <w:r>
              <w:rPr>
                <w:rFonts w:cs="Times New Roman"/>
                <w:color w:val="auto"/>
              </w:rPr>
              <w:t>(二)已落实水污染防治措施。</w:t>
            </w:r>
            <w:r>
              <w:rPr>
                <w:rFonts w:hint="eastAsia" w:cs="Times New Roman"/>
                <w:color w:val="auto"/>
              </w:rPr>
              <w:t>生活污水经三级化粪池预处理达标后，通过市政污水管网汇入水东湾新城水质净化厂处理；近期喷淋塔更换废水及水帘柜更换废水达到茂名华清水务有限公司的进水标准后，通过槽罐车外运至茂名华清水务有限公司处理，远期电白新材料产业园区污水处理厂建设完成后，达到园区污水处理厂的进水标准排入园区污水处理厂深度处理。须遵循严格规范管理要求，认真做好槽罐车废水外运工作，建立完整转运台账。生活污水排放执行广东省《水污染物排放限值》（DB44/26-2001）第二时段三级标准及水东湾新城水质净化厂进水水质标准较严值。</w:t>
            </w:r>
          </w:p>
          <w:p>
            <w:pPr>
              <w:pStyle w:val="33"/>
              <w:jc w:val="both"/>
              <w:rPr>
                <w:rFonts w:cs="Times New Roman"/>
                <w:color w:val="auto"/>
              </w:rPr>
            </w:pPr>
            <w:r>
              <w:rPr>
                <w:rFonts w:cs="Times New Roman"/>
                <w:color w:val="auto"/>
              </w:rPr>
              <w:t>(三)已落实噪声污染防治措施。采取合理布局、选用低噪声设备、采取减振、隔声或消声措施、加强设备管理及维护、合理安排生产时间等防护措施。厂界四周噪声值满足《工业企业厂界环境噪声排放标准》（GB12348-2008）3类标准。</w:t>
            </w:r>
          </w:p>
          <w:p>
            <w:pPr>
              <w:pStyle w:val="33"/>
              <w:jc w:val="both"/>
              <w:rPr>
                <w:rFonts w:cs="Times New Roman"/>
                <w:color w:val="auto"/>
              </w:rPr>
            </w:pPr>
            <w:r>
              <w:rPr>
                <w:rFonts w:cs="Times New Roman"/>
                <w:color w:val="auto"/>
              </w:rPr>
              <w:t>(四)已落实固体废物分类处理处置要求。</w:t>
            </w:r>
            <w:r>
              <w:rPr>
                <w:rFonts w:hint="eastAsia" w:cs="Times New Roman"/>
                <w:color w:val="auto"/>
              </w:rPr>
              <w:t>废机油、废液压油、废乳化油、沾染乳化油的金属碎屑、废原辅料包装桶、漆渣、废干式过滤器介质、废活性炭、废清抹布、废拉丝布、含油废抹布及手套等危险废物收集后，暂存于危废暂存间，定期交肇庆市新荣昌环保股份有限公司处置；废包装材料、金属碎屑和边角料、收集的粉尘、焊渣、废滤筒及废布袋暂存于一般固废暂存间，定期交由专业回收单位处理；生活垃圾交由环卫部门清运处理。项目一般工业固废执行《一般工业固体废物贮存和填埋污染控制标准》（GB18599-2020）；危险废物应执行《危险废物贮存污染控制标准》（GB18597-2023）管理要求。</w:t>
            </w:r>
          </w:p>
          <w:p>
            <w:pPr>
              <w:pStyle w:val="33"/>
              <w:jc w:val="both"/>
              <w:rPr>
                <w:rFonts w:cs="Times New Roman"/>
                <w:color w:val="auto"/>
              </w:rPr>
            </w:pPr>
            <w:r>
              <w:rPr>
                <w:rFonts w:cs="Times New Roman"/>
                <w:color w:val="auto"/>
              </w:rPr>
              <w:t>(五)</w:t>
            </w:r>
            <w:r>
              <w:rPr>
                <w:rFonts w:hint="eastAsia" w:cs="Times New Roman"/>
                <w:color w:val="auto"/>
              </w:rPr>
              <w:t>已按要求执行。</w:t>
            </w:r>
          </w:p>
        </w:tc>
        <w:tc>
          <w:tcPr>
            <w:tcW w:w="927" w:type="dxa"/>
            <w:vAlign w:val="center"/>
          </w:tcPr>
          <w:p>
            <w:pPr>
              <w:pStyle w:val="33"/>
              <w:rPr>
                <w:rFonts w:cs="Times New Roman"/>
                <w:color w:val="auto"/>
                <w:highlight w:val="yellow"/>
              </w:rPr>
            </w:pPr>
            <w:r>
              <w:rPr>
                <w:rFonts w:cs="Times New Roman"/>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trPr>
        <w:tc>
          <w:tcPr>
            <w:tcW w:w="6908" w:type="dxa"/>
            <w:vAlign w:val="center"/>
          </w:tcPr>
          <w:p>
            <w:pPr>
              <w:pStyle w:val="33"/>
              <w:jc w:val="both"/>
              <w:rPr>
                <w:rFonts w:cs="Times New Roman"/>
                <w:color w:val="auto"/>
                <w:highlight w:val="yellow"/>
              </w:rPr>
            </w:pPr>
            <w:r>
              <w:rPr>
                <w:rFonts w:cs="Times New Roman"/>
                <w:color w:val="auto"/>
              </w:rPr>
              <w:t>三、</w:t>
            </w:r>
            <w:r>
              <w:rPr>
                <w:rFonts w:hint="eastAsia" w:cs="Times New Roman"/>
                <w:color w:val="auto"/>
              </w:rPr>
              <w:t>项目环保投资应纳入工程投资概算并予以落实。</w:t>
            </w:r>
          </w:p>
        </w:tc>
        <w:tc>
          <w:tcPr>
            <w:tcW w:w="6339" w:type="dxa"/>
            <w:vAlign w:val="center"/>
          </w:tcPr>
          <w:p>
            <w:pPr>
              <w:pStyle w:val="33"/>
              <w:jc w:val="both"/>
              <w:rPr>
                <w:rFonts w:cs="Times New Roman"/>
                <w:color w:val="auto"/>
              </w:rPr>
            </w:pPr>
            <w:r>
              <w:rPr>
                <w:rFonts w:cs="Times New Roman"/>
                <w:color w:val="auto"/>
              </w:rPr>
              <w:t>已按要求执行</w:t>
            </w:r>
            <w:r>
              <w:rPr>
                <w:rFonts w:hint="eastAsia" w:cs="Times New Roman"/>
                <w:color w:val="auto"/>
              </w:rPr>
              <w:t>，项目总投资110万元，其中环保投资30万元</w:t>
            </w:r>
            <w:r>
              <w:rPr>
                <w:rFonts w:cs="Times New Roman"/>
                <w:color w:val="auto"/>
              </w:rPr>
              <w:t>。</w:t>
            </w:r>
          </w:p>
        </w:tc>
        <w:tc>
          <w:tcPr>
            <w:tcW w:w="927" w:type="dxa"/>
            <w:vAlign w:val="center"/>
          </w:tcPr>
          <w:p>
            <w:pPr>
              <w:pStyle w:val="33"/>
              <w:rPr>
                <w:rFonts w:cs="Times New Roman"/>
                <w:color w:val="auto"/>
              </w:rPr>
            </w:pPr>
            <w:r>
              <w:rPr>
                <w:rFonts w:cs="Times New Roman"/>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trPr>
        <w:tc>
          <w:tcPr>
            <w:tcW w:w="6908" w:type="dxa"/>
            <w:vAlign w:val="center"/>
          </w:tcPr>
          <w:p>
            <w:pPr>
              <w:pStyle w:val="33"/>
              <w:jc w:val="both"/>
              <w:rPr>
                <w:rFonts w:cs="Times New Roman"/>
                <w:color w:val="auto"/>
              </w:rPr>
            </w:pPr>
            <w:r>
              <w:rPr>
                <w:rFonts w:cs="Times New Roman"/>
                <w:color w:val="auto"/>
              </w:rPr>
              <w:t>四、</w:t>
            </w:r>
            <w:r>
              <w:rPr>
                <w:rFonts w:hint="eastAsia" w:cs="Times New Roman"/>
                <w:color w:val="auto"/>
              </w:rPr>
              <w:t>报告表经批准后，建设项目的性质、规模、地点、采用的生产工艺或者防治污染、防止生态破坏的措施发生重大变动的，建设单位应当重新报批建设项目的环境影响评价文件。</w:t>
            </w:r>
          </w:p>
        </w:tc>
        <w:tc>
          <w:tcPr>
            <w:tcW w:w="6339" w:type="dxa"/>
            <w:vAlign w:val="center"/>
          </w:tcPr>
          <w:p>
            <w:pPr>
              <w:pStyle w:val="33"/>
              <w:jc w:val="both"/>
              <w:rPr>
                <w:rFonts w:cs="Times New Roman"/>
                <w:color w:val="auto"/>
                <w:highlight w:val="yellow"/>
              </w:rPr>
            </w:pPr>
            <w:r>
              <w:rPr>
                <w:rFonts w:cs="Times New Roman"/>
                <w:color w:val="auto"/>
              </w:rPr>
              <w:t>已按要求执行</w:t>
            </w:r>
            <w:r>
              <w:rPr>
                <w:rFonts w:hint="eastAsia" w:cs="Times New Roman"/>
                <w:color w:val="auto"/>
              </w:rPr>
              <w:t>，建设项目的性质、规模、地点、采用的生产工艺或者防治污染、防止生态破坏的措施没有重大变动。</w:t>
            </w:r>
          </w:p>
        </w:tc>
        <w:tc>
          <w:tcPr>
            <w:tcW w:w="927" w:type="dxa"/>
            <w:vAlign w:val="center"/>
          </w:tcPr>
          <w:p>
            <w:pPr>
              <w:pStyle w:val="33"/>
              <w:rPr>
                <w:rFonts w:cs="Times New Roman"/>
                <w:color w:val="auto"/>
                <w:highlight w:val="yellow"/>
              </w:rPr>
            </w:pPr>
            <w:r>
              <w:rPr>
                <w:rFonts w:cs="Times New Roman"/>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trPr>
        <w:tc>
          <w:tcPr>
            <w:tcW w:w="6908" w:type="dxa"/>
            <w:vAlign w:val="center"/>
          </w:tcPr>
          <w:p>
            <w:pPr>
              <w:pStyle w:val="33"/>
              <w:jc w:val="both"/>
              <w:rPr>
                <w:rFonts w:cs="Times New Roman"/>
                <w:color w:val="auto"/>
              </w:rPr>
            </w:pPr>
            <w:r>
              <w:rPr>
                <w:rFonts w:hint="eastAsia" w:cs="Times New Roman"/>
                <w:color w:val="auto"/>
              </w:rPr>
              <w:t>五、你单位须落实有效的环境风险防范和应急措施，建立健全环境事故应急体系，确保环境安全。要制定切实可行的日常环境保护管理措施，加强员工的安全教育，提高风险意识，做好风险防范措施，最大限度地降低环境风险。</w:t>
            </w:r>
          </w:p>
        </w:tc>
        <w:tc>
          <w:tcPr>
            <w:tcW w:w="6339" w:type="dxa"/>
            <w:vAlign w:val="center"/>
          </w:tcPr>
          <w:p>
            <w:pPr>
              <w:pStyle w:val="33"/>
              <w:jc w:val="both"/>
              <w:rPr>
                <w:rFonts w:cs="Times New Roman"/>
                <w:color w:val="auto"/>
                <w:highlight w:val="yellow"/>
              </w:rPr>
            </w:pPr>
            <w:r>
              <w:rPr>
                <w:rFonts w:hint="eastAsia" w:cs="Times New Roman"/>
                <w:color w:val="auto"/>
              </w:rPr>
              <w:t>已制订并落实有效的环境风险防范措施和环境应急预案，建立健全环境事故应急体系，确保环境安全。制定切实可行的日常环境保护管理措施，加强员工的安全教育，提高风险意识，做好风险防范措施，最大限度地降低环境风险。</w:t>
            </w:r>
          </w:p>
        </w:tc>
        <w:tc>
          <w:tcPr>
            <w:tcW w:w="927" w:type="dxa"/>
            <w:vAlign w:val="center"/>
          </w:tcPr>
          <w:p>
            <w:pPr>
              <w:pStyle w:val="33"/>
              <w:rPr>
                <w:rFonts w:cs="Times New Roman"/>
                <w:color w:val="auto"/>
                <w:highlight w:val="yellow"/>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trPr>
        <w:tc>
          <w:tcPr>
            <w:tcW w:w="6908" w:type="dxa"/>
            <w:vAlign w:val="center"/>
          </w:tcPr>
          <w:p>
            <w:pPr>
              <w:pStyle w:val="33"/>
              <w:jc w:val="both"/>
              <w:rPr>
                <w:rFonts w:cs="Times New Roman"/>
                <w:color w:val="auto"/>
              </w:rPr>
            </w:pPr>
            <w:r>
              <w:rPr>
                <w:rFonts w:hint="eastAsia" w:cs="Times New Roman"/>
                <w:color w:val="auto"/>
              </w:rPr>
              <w:t>六、项目建设应严格执行配套建设的环境保护设施与主体工程同时设计、同时施工、同时投产使用的环境保护“三同时”制度。项目建成后，应当在投入运营或者在实施排污之前，按照《排污许可管理条例》等有关规定依法办理排污许可手续，并按规定程序实施竣工环境保护验收。按规定接受生态环境部门日常监督管理。</w:t>
            </w:r>
          </w:p>
        </w:tc>
        <w:tc>
          <w:tcPr>
            <w:tcW w:w="6339" w:type="dxa"/>
            <w:vAlign w:val="center"/>
          </w:tcPr>
          <w:p>
            <w:pPr>
              <w:pStyle w:val="33"/>
              <w:jc w:val="both"/>
              <w:rPr>
                <w:rFonts w:cs="Times New Roman"/>
                <w:color w:val="auto"/>
                <w:highlight w:val="yellow"/>
              </w:rPr>
            </w:pPr>
            <w:r>
              <w:rPr>
                <w:rFonts w:hint="eastAsia" w:cs="Times New Roman"/>
                <w:color w:val="auto"/>
              </w:rPr>
              <w:t>本单位在项目实施过程中已严格执行环境保护“三同时”制度，主体工程需与环境保护工程同时设计、同时施工、同时投入使用。现根据《建设项目环境保护管理条例》的相关规定进行“建设项目竣工环境保护验收”。</w:t>
            </w:r>
          </w:p>
        </w:tc>
        <w:tc>
          <w:tcPr>
            <w:tcW w:w="927" w:type="dxa"/>
            <w:vAlign w:val="center"/>
          </w:tcPr>
          <w:p>
            <w:pPr>
              <w:pStyle w:val="33"/>
              <w:rPr>
                <w:rFonts w:cs="Times New Roman"/>
                <w:color w:val="auto"/>
                <w:highlight w:val="yellow"/>
              </w:rPr>
            </w:pPr>
            <w:r>
              <w:rPr>
                <w:rFonts w:hint="eastAsia"/>
                <w:color w:val="auto"/>
              </w:rPr>
              <w:t>符合</w:t>
            </w:r>
          </w:p>
        </w:tc>
      </w:tr>
    </w:tbl>
    <w:p>
      <w:pPr>
        <w:ind w:firstLine="480"/>
        <w:rPr>
          <w:color w:val="auto"/>
          <w:highlight w:val="yellow"/>
        </w:rPr>
        <w:sectPr>
          <w:pgSz w:w="16838" w:h="11906" w:orient="landscape"/>
          <w:pgMar w:top="1800" w:right="1440" w:bottom="1800" w:left="1440" w:header="851" w:footer="992" w:gutter="0"/>
          <w:cols w:space="425" w:num="1"/>
          <w:docGrid w:type="lines" w:linePitch="326" w:charSpace="0"/>
        </w:sectPr>
      </w:pPr>
    </w:p>
    <w:p>
      <w:pPr>
        <w:pStyle w:val="2"/>
        <w:rPr>
          <w:color w:val="auto"/>
        </w:rPr>
      </w:pPr>
      <w:bookmarkStart w:id="63" w:name="_Toc15791"/>
      <w:r>
        <w:rPr>
          <w:rFonts w:hint="eastAsia"/>
          <w:color w:val="auto"/>
        </w:rPr>
        <w:t>验收执行标准</w:t>
      </w:r>
      <w:bookmarkEnd w:id="63"/>
    </w:p>
    <w:p>
      <w:pPr>
        <w:pStyle w:val="3"/>
        <w:rPr>
          <w:color w:val="auto"/>
        </w:rPr>
      </w:pPr>
      <w:bookmarkStart w:id="64" w:name="_Toc1378"/>
      <w:r>
        <w:rPr>
          <w:rFonts w:hint="eastAsia"/>
          <w:color w:val="auto"/>
        </w:rPr>
        <w:t>废水</w:t>
      </w:r>
      <w:bookmarkEnd w:id="64"/>
    </w:p>
    <w:p>
      <w:pPr>
        <w:ind w:firstLine="480"/>
        <w:rPr>
          <w:color w:val="auto"/>
        </w:rPr>
      </w:pPr>
      <w:r>
        <w:rPr>
          <w:rFonts w:hint="eastAsia"/>
          <w:color w:val="auto"/>
        </w:rPr>
        <w:t>本项目设一个生活污水排放口，本项目生活污水经三级化粪池处理后，接入与项目地最近的市政污水管网，再进入水东湾新城水质净化厂集中处理。水东湾新城水质净化厂设计进水水质执行广东省地方标准《水污染物排放限值》（DB44/26-2001）第二时段三级标准，因此本项目生活污水直接执行广东省地方标准《水污染物排放限值》(DB44/26-2001）第二时段三级标准，详见下表。</w:t>
      </w:r>
    </w:p>
    <w:p>
      <w:pPr>
        <w:spacing w:line="240" w:lineRule="auto"/>
        <w:ind w:firstLine="422"/>
        <w:jc w:val="center"/>
        <w:rPr>
          <w:b/>
          <w:bCs/>
          <w:color w:val="auto"/>
          <w:sz w:val="21"/>
          <w:szCs w:val="21"/>
        </w:rPr>
      </w:pPr>
      <w:r>
        <w:rPr>
          <w:rFonts w:hint="eastAsia"/>
          <w:b/>
          <w:bCs/>
          <w:color w:val="auto"/>
          <w:sz w:val="21"/>
          <w:szCs w:val="21"/>
        </w:rPr>
        <w:t>表6.1-1 生活污水排放标准值 （单位：mg/L，pH无量纲）</w:t>
      </w:r>
    </w:p>
    <w:tbl>
      <w:tblPr>
        <w:tblStyle w:val="24"/>
        <w:tblW w:w="8054"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697"/>
        <w:gridCol w:w="1922"/>
        <w:gridCol w:w="443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697"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uto"/>
              <w:ind w:firstLine="482" w:firstLineChars="0"/>
              <w:jc w:val="center"/>
              <w:rPr>
                <w:rFonts w:cs="Times New Roman"/>
                <w:b/>
                <w:color w:val="auto"/>
                <w:kern w:val="21"/>
                <w:sz w:val="21"/>
                <w:szCs w:val="21"/>
              </w:rPr>
            </w:pPr>
            <w:r>
              <w:rPr>
                <w:rFonts w:hint="eastAsia" w:ascii="宋体" w:hAnsi="宋体" w:cs="Times New Roman"/>
                <w:b/>
                <w:color w:val="auto"/>
                <w:kern w:val="21"/>
                <w:sz w:val="21"/>
                <w:szCs w:val="21"/>
              </w:rPr>
              <w:t>废水类型</w:t>
            </w:r>
          </w:p>
        </w:tc>
        <w:tc>
          <w:tcPr>
            <w:tcW w:w="192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uto"/>
              <w:ind w:firstLine="0" w:firstLineChars="0"/>
              <w:jc w:val="center"/>
              <w:rPr>
                <w:rFonts w:cs="Times New Roman"/>
                <w:b/>
                <w:color w:val="auto"/>
                <w:kern w:val="21"/>
                <w:sz w:val="21"/>
                <w:szCs w:val="21"/>
              </w:rPr>
            </w:pPr>
            <w:r>
              <w:rPr>
                <w:rFonts w:hint="eastAsia" w:ascii="宋体" w:hAnsi="宋体" w:cs="Times New Roman"/>
                <w:b/>
                <w:color w:val="auto"/>
                <w:kern w:val="21"/>
                <w:sz w:val="21"/>
                <w:szCs w:val="21"/>
              </w:rPr>
              <w:t>污染因子</w:t>
            </w:r>
          </w:p>
        </w:tc>
        <w:tc>
          <w:tcPr>
            <w:tcW w:w="4435"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uto"/>
              <w:ind w:firstLine="0" w:firstLineChars="0"/>
              <w:jc w:val="center"/>
              <w:rPr>
                <w:rFonts w:cs="Times New Roman"/>
                <w:b/>
                <w:color w:val="auto"/>
                <w:kern w:val="21"/>
                <w:sz w:val="21"/>
                <w:szCs w:val="21"/>
              </w:rPr>
            </w:pPr>
            <w:r>
              <w:rPr>
                <w:rFonts w:hint="eastAsia" w:ascii="宋体" w:hAnsi="宋体" w:cs="Times New Roman"/>
                <w:b/>
                <w:color w:val="auto"/>
                <w:kern w:val="21"/>
                <w:sz w:val="21"/>
                <w:szCs w:val="21"/>
              </w:rPr>
              <w:t>《水污染物排放限值》（</w:t>
            </w:r>
            <w:r>
              <w:rPr>
                <w:rFonts w:hint="eastAsia" w:cs="Times New Roman"/>
                <w:b/>
                <w:color w:val="auto"/>
                <w:kern w:val="21"/>
                <w:sz w:val="21"/>
                <w:szCs w:val="21"/>
              </w:rPr>
              <w:t>DB44/26-2001</w:t>
            </w:r>
            <w:r>
              <w:rPr>
                <w:rFonts w:hint="eastAsia" w:ascii="宋体" w:hAnsi="宋体" w:cs="Times New Roman"/>
                <w:b/>
                <w:color w:val="auto"/>
                <w:kern w:val="21"/>
                <w:sz w:val="21"/>
                <w:szCs w:val="21"/>
              </w:rPr>
              <w:t>）第二时段三级标准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697" w:type="dxa"/>
            <w:vMerge w:val="restart"/>
            <w:tcBorders>
              <w:top w:val="nil"/>
              <w:left w:val="single" w:color="000000" w:sz="4" w:space="0"/>
              <w:bottom w:val="single" w:color="000000" w:sz="4" w:space="0"/>
              <w:right w:val="single" w:color="000000" w:sz="4" w:space="0"/>
            </w:tcBorders>
            <w:vAlign w:val="center"/>
          </w:tcPr>
          <w:p>
            <w:pPr>
              <w:adjustRightInd w:val="0"/>
              <w:snapToGrid w:val="0"/>
              <w:spacing w:line="240" w:lineRule="auto"/>
              <w:ind w:firstLine="0" w:firstLineChars="0"/>
              <w:jc w:val="center"/>
              <w:rPr>
                <w:rFonts w:hint="eastAsia" w:ascii="宋体" w:hAnsi="宋体" w:cs="Times New Roman"/>
                <w:color w:val="auto"/>
                <w:kern w:val="21"/>
                <w:sz w:val="21"/>
                <w:szCs w:val="21"/>
              </w:rPr>
            </w:pPr>
            <w:r>
              <w:rPr>
                <w:rFonts w:hint="eastAsia" w:ascii="宋体" w:hAnsi="宋体" w:cs="Times New Roman"/>
                <w:color w:val="auto"/>
                <w:kern w:val="21"/>
                <w:sz w:val="21"/>
                <w:szCs w:val="21"/>
              </w:rPr>
              <w:t>生活污水</w:t>
            </w:r>
          </w:p>
        </w:tc>
        <w:tc>
          <w:tcPr>
            <w:tcW w:w="1922" w:type="dxa"/>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pacing w:line="240" w:lineRule="auto"/>
              <w:ind w:firstLine="0" w:firstLineChars="0"/>
              <w:jc w:val="center"/>
              <w:rPr>
                <w:rFonts w:ascii="方正姚体" w:eastAsia="方正姚体" w:cs="Times New Roman"/>
                <w:color w:val="auto"/>
                <w:kern w:val="21"/>
                <w:szCs w:val="24"/>
              </w:rPr>
            </w:pPr>
            <w:r>
              <w:rPr>
                <w:rFonts w:cs="Times New Roman"/>
                <w:color w:val="auto"/>
                <w:sz w:val="21"/>
                <w:szCs w:val="21"/>
              </w:rPr>
              <w:t>pH</w:t>
            </w:r>
          </w:p>
        </w:tc>
        <w:tc>
          <w:tcPr>
            <w:tcW w:w="4435"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uto"/>
              <w:ind w:firstLine="0" w:firstLineChars="0"/>
              <w:jc w:val="center"/>
              <w:rPr>
                <w:rFonts w:cs="Times New Roman"/>
                <w:color w:val="auto"/>
                <w:kern w:val="21"/>
                <w:sz w:val="21"/>
                <w:szCs w:val="21"/>
              </w:rPr>
            </w:pPr>
            <w:r>
              <w:rPr>
                <w:rFonts w:hint="eastAsia" w:cs="Times New Roman"/>
                <w:color w:val="auto"/>
                <w:kern w:val="21"/>
                <w:sz w:val="21"/>
                <w:szCs w:val="21"/>
              </w:rPr>
              <w:t>6~9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697" w:type="dxa"/>
            <w:vMerge w:val="continue"/>
            <w:tcBorders>
              <w:top w:val="nil"/>
              <w:left w:val="single" w:color="000000" w:sz="4" w:space="0"/>
              <w:bottom w:val="single" w:color="000000" w:sz="4" w:space="0"/>
              <w:right w:val="single" w:color="000000" w:sz="4" w:space="0"/>
            </w:tcBorders>
            <w:vAlign w:val="center"/>
          </w:tcPr>
          <w:p>
            <w:pPr>
              <w:widowControl/>
              <w:spacing w:line="240" w:lineRule="auto"/>
              <w:ind w:firstLine="0" w:firstLineChars="0"/>
              <w:jc w:val="left"/>
              <w:rPr>
                <w:rFonts w:hint="eastAsia" w:ascii="宋体" w:hAnsi="宋体" w:cs="Times New Roman"/>
                <w:color w:val="auto"/>
                <w:kern w:val="21"/>
                <w:sz w:val="21"/>
                <w:szCs w:val="21"/>
              </w:rPr>
            </w:pPr>
          </w:p>
        </w:tc>
        <w:tc>
          <w:tcPr>
            <w:tcW w:w="1922" w:type="dxa"/>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pacing w:line="240" w:lineRule="auto"/>
              <w:ind w:firstLine="0" w:firstLineChars="0"/>
              <w:jc w:val="center"/>
              <w:rPr>
                <w:rFonts w:ascii="方正姚体" w:eastAsia="方正姚体" w:cs="Times New Roman"/>
                <w:color w:val="auto"/>
                <w:kern w:val="21"/>
                <w:szCs w:val="24"/>
              </w:rPr>
            </w:pPr>
            <w:r>
              <w:rPr>
                <w:rFonts w:cs="Times New Roman"/>
                <w:color w:val="auto"/>
                <w:sz w:val="21"/>
                <w:szCs w:val="21"/>
              </w:rPr>
              <w:t>CODcr</w:t>
            </w:r>
          </w:p>
        </w:tc>
        <w:tc>
          <w:tcPr>
            <w:tcW w:w="4435"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uto"/>
              <w:ind w:firstLine="0" w:firstLineChars="0"/>
              <w:jc w:val="center"/>
              <w:rPr>
                <w:rFonts w:cs="Times New Roman"/>
                <w:color w:val="auto"/>
                <w:kern w:val="21"/>
                <w:sz w:val="21"/>
                <w:szCs w:val="21"/>
              </w:rPr>
            </w:pPr>
            <w:r>
              <w:rPr>
                <w:rFonts w:cs="Times New Roman"/>
                <w:color w:val="auto"/>
                <w:kern w:val="21"/>
                <w:sz w:val="21"/>
                <w:szCs w:val="21"/>
              </w:rPr>
              <w:t>≤</w:t>
            </w:r>
            <w:r>
              <w:rPr>
                <w:rFonts w:hint="eastAsia" w:cs="Times New Roman"/>
                <w:color w:val="auto"/>
                <w:kern w:val="21"/>
                <w:sz w:val="21"/>
                <w:szCs w:val="21"/>
              </w:rPr>
              <w:t>500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697" w:type="dxa"/>
            <w:vMerge w:val="continue"/>
            <w:tcBorders>
              <w:top w:val="nil"/>
              <w:left w:val="single" w:color="000000" w:sz="4" w:space="0"/>
              <w:bottom w:val="single" w:color="000000" w:sz="4" w:space="0"/>
              <w:right w:val="single" w:color="000000" w:sz="4" w:space="0"/>
            </w:tcBorders>
            <w:vAlign w:val="center"/>
          </w:tcPr>
          <w:p>
            <w:pPr>
              <w:widowControl/>
              <w:spacing w:line="240" w:lineRule="auto"/>
              <w:ind w:firstLine="0" w:firstLineChars="0"/>
              <w:jc w:val="left"/>
              <w:rPr>
                <w:rFonts w:hint="eastAsia" w:ascii="宋体" w:hAnsi="宋体" w:cs="Times New Roman"/>
                <w:color w:val="auto"/>
                <w:kern w:val="21"/>
                <w:sz w:val="21"/>
                <w:szCs w:val="21"/>
              </w:rPr>
            </w:pPr>
          </w:p>
        </w:tc>
        <w:tc>
          <w:tcPr>
            <w:tcW w:w="1922" w:type="dxa"/>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pacing w:line="240" w:lineRule="auto"/>
              <w:ind w:firstLine="0" w:firstLineChars="0"/>
              <w:jc w:val="center"/>
              <w:rPr>
                <w:rFonts w:ascii="方正姚体" w:eastAsia="方正姚体" w:cs="Times New Roman"/>
                <w:color w:val="auto"/>
                <w:kern w:val="21"/>
                <w:szCs w:val="24"/>
              </w:rPr>
            </w:pPr>
            <w:r>
              <w:rPr>
                <w:rFonts w:cs="Times New Roman"/>
                <w:color w:val="auto"/>
                <w:sz w:val="21"/>
                <w:szCs w:val="21"/>
              </w:rPr>
              <w:t>BOD</w:t>
            </w:r>
            <w:r>
              <w:rPr>
                <w:rFonts w:cs="Times New Roman"/>
                <w:color w:val="auto"/>
                <w:sz w:val="21"/>
                <w:szCs w:val="21"/>
                <w:vertAlign w:val="subscript"/>
              </w:rPr>
              <w:t>5</w:t>
            </w:r>
          </w:p>
        </w:tc>
        <w:tc>
          <w:tcPr>
            <w:tcW w:w="4435"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uto"/>
              <w:ind w:firstLine="0" w:firstLineChars="0"/>
              <w:jc w:val="center"/>
              <w:rPr>
                <w:rFonts w:cs="Times New Roman"/>
                <w:color w:val="auto"/>
                <w:kern w:val="21"/>
                <w:sz w:val="21"/>
                <w:szCs w:val="21"/>
              </w:rPr>
            </w:pPr>
            <w:r>
              <w:rPr>
                <w:rFonts w:cs="Times New Roman"/>
                <w:color w:val="auto"/>
                <w:kern w:val="21"/>
                <w:sz w:val="21"/>
                <w:szCs w:val="21"/>
              </w:rPr>
              <w:t>≤</w:t>
            </w:r>
            <w:r>
              <w:rPr>
                <w:rFonts w:hint="eastAsia" w:cs="Times New Roman"/>
                <w:color w:val="auto"/>
                <w:kern w:val="21"/>
                <w:sz w:val="21"/>
                <w:szCs w:val="21"/>
              </w:rPr>
              <w:t>300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697" w:type="dxa"/>
            <w:vMerge w:val="continue"/>
            <w:tcBorders>
              <w:top w:val="nil"/>
              <w:left w:val="single" w:color="000000" w:sz="4" w:space="0"/>
              <w:bottom w:val="single" w:color="000000" w:sz="4" w:space="0"/>
              <w:right w:val="single" w:color="000000" w:sz="4" w:space="0"/>
            </w:tcBorders>
            <w:vAlign w:val="center"/>
          </w:tcPr>
          <w:p>
            <w:pPr>
              <w:widowControl/>
              <w:spacing w:line="240" w:lineRule="auto"/>
              <w:ind w:firstLine="0" w:firstLineChars="0"/>
              <w:jc w:val="left"/>
              <w:rPr>
                <w:rFonts w:hint="eastAsia" w:ascii="宋体" w:hAnsi="宋体" w:cs="Times New Roman"/>
                <w:color w:val="auto"/>
                <w:kern w:val="21"/>
                <w:sz w:val="21"/>
                <w:szCs w:val="21"/>
              </w:rPr>
            </w:pPr>
          </w:p>
        </w:tc>
        <w:tc>
          <w:tcPr>
            <w:tcW w:w="1922" w:type="dxa"/>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pacing w:line="240" w:lineRule="auto"/>
              <w:ind w:firstLine="0" w:firstLineChars="0"/>
              <w:jc w:val="center"/>
              <w:rPr>
                <w:rFonts w:ascii="方正姚体" w:eastAsia="方正姚体" w:cs="Times New Roman"/>
                <w:color w:val="auto"/>
                <w:kern w:val="21"/>
                <w:szCs w:val="24"/>
              </w:rPr>
            </w:pPr>
            <w:r>
              <w:rPr>
                <w:rFonts w:cs="Times New Roman"/>
                <w:color w:val="auto"/>
                <w:sz w:val="21"/>
                <w:szCs w:val="21"/>
              </w:rPr>
              <w:t>SS</w:t>
            </w:r>
          </w:p>
        </w:tc>
        <w:tc>
          <w:tcPr>
            <w:tcW w:w="4435"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uto"/>
              <w:ind w:firstLine="0" w:firstLineChars="0"/>
              <w:jc w:val="center"/>
              <w:rPr>
                <w:rFonts w:cs="Times New Roman"/>
                <w:color w:val="auto"/>
                <w:kern w:val="21"/>
                <w:sz w:val="21"/>
                <w:szCs w:val="21"/>
              </w:rPr>
            </w:pPr>
            <w:r>
              <w:rPr>
                <w:rFonts w:cs="Times New Roman"/>
                <w:color w:val="auto"/>
                <w:kern w:val="21"/>
                <w:sz w:val="21"/>
                <w:szCs w:val="21"/>
              </w:rPr>
              <w:t>≤</w:t>
            </w:r>
            <w:r>
              <w:rPr>
                <w:rFonts w:hint="eastAsia" w:cs="Times New Roman"/>
                <w:color w:val="auto"/>
                <w:kern w:val="21"/>
                <w:sz w:val="21"/>
                <w:szCs w:val="21"/>
              </w:rPr>
              <w:t>400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697" w:type="dxa"/>
            <w:vMerge w:val="continue"/>
            <w:tcBorders>
              <w:top w:val="nil"/>
              <w:left w:val="single" w:color="000000" w:sz="4" w:space="0"/>
              <w:bottom w:val="single" w:color="000000" w:sz="4" w:space="0"/>
              <w:right w:val="single" w:color="000000" w:sz="4" w:space="0"/>
            </w:tcBorders>
            <w:vAlign w:val="center"/>
          </w:tcPr>
          <w:p>
            <w:pPr>
              <w:widowControl/>
              <w:spacing w:line="240" w:lineRule="auto"/>
              <w:ind w:firstLine="0" w:firstLineChars="0"/>
              <w:jc w:val="left"/>
              <w:rPr>
                <w:rFonts w:hint="eastAsia" w:ascii="宋体" w:hAnsi="宋体" w:cs="Times New Roman"/>
                <w:color w:val="auto"/>
                <w:kern w:val="21"/>
                <w:sz w:val="21"/>
                <w:szCs w:val="21"/>
              </w:rPr>
            </w:pPr>
          </w:p>
        </w:tc>
        <w:tc>
          <w:tcPr>
            <w:tcW w:w="1922" w:type="dxa"/>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pacing w:line="240" w:lineRule="auto"/>
              <w:ind w:firstLine="0" w:firstLineChars="0"/>
              <w:jc w:val="center"/>
              <w:rPr>
                <w:rFonts w:ascii="方正姚体" w:eastAsia="方正姚体" w:cs="Times New Roman"/>
                <w:color w:val="auto"/>
                <w:kern w:val="21"/>
                <w:szCs w:val="24"/>
              </w:rPr>
            </w:pPr>
            <w:r>
              <w:rPr>
                <w:rFonts w:ascii="宋体" w:hAnsi="宋体" w:cs="Times New Roman"/>
                <w:color w:val="auto"/>
                <w:sz w:val="21"/>
                <w:szCs w:val="21"/>
              </w:rPr>
              <w:t>氨氮</w:t>
            </w:r>
          </w:p>
        </w:tc>
        <w:tc>
          <w:tcPr>
            <w:tcW w:w="4435"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uto"/>
              <w:ind w:firstLine="0" w:firstLineChars="0"/>
              <w:jc w:val="center"/>
              <w:rPr>
                <w:rFonts w:hint="eastAsia" w:ascii="宋体" w:hAnsi="宋体" w:cs="Times New Roman"/>
                <w:color w:val="auto"/>
                <w:kern w:val="21"/>
                <w:sz w:val="21"/>
                <w:szCs w:val="21"/>
              </w:rPr>
            </w:pPr>
            <w:r>
              <w:rPr>
                <w:rFonts w:hint="eastAsia" w:cs="Times New Roman"/>
                <w:color w:val="auto"/>
                <w:kern w:val="21"/>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697" w:type="dxa"/>
            <w:vMerge w:val="continue"/>
            <w:tcBorders>
              <w:top w:val="nil"/>
              <w:left w:val="single" w:color="000000" w:sz="4" w:space="0"/>
              <w:bottom w:val="single" w:color="000000" w:sz="4" w:space="0"/>
              <w:right w:val="single" w:color="000000" w:sz="4" w:space="0"/>
            </w:tcBorders>
            <w:vAlign w:val="center"/>
          </w:tcPr>
          <w:p>
            <w:pPr>
              <w:widowControl/>
              <w:spacing w:line="240" w:lineRule="auto"/>
              <w:ind w:firstLine="0" w:firstLineChars="0"/>
              <w:jc w:val="left"/>
              <w:rPr>
                <w:rFonts w:hint="eastAsia" w:ascii="宋体" w:hAnsi="宋体" w:cs="Times New Roman"/>
                <w:color w:val="auto"/>
                <w:kern w:val="21"/>
                <w:sz w:val="21"/>
                <w:szCs w:val="21"/>
              </w:rPr>
            </w:pPr>
          </w:p>
        </w:tc>
        <w:tc>
          <w:tcPr>
            <w:tcW w:w="1922" w:type="dxa"/>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pacing w:line="240" w:lineRule="auto"/>
              <w:ind w:firstLine="0" w:firstLineChars="0"/>
              <w:jc w:val="center"/>
              <w:rPr>
                <w:rFonts w:ascii="方正姚体" w:eastAsia="方正姚体" w:cs="Times New Roman"/>
                <w:color w:val="auto"/>
                <w:kern w:val="21"/>
                <w:szCs w:val="24"/>
              </w:rPr>
            </w:pPr>
            <w:r>
              <w:rPr>
                <w:rFonts w:ascii="宋体" w:hAnsi="宋体" w:cs="Times New Roman"/>
                <w:color w:val="auto"/>
                <w:sz w:val="21"/>
                <w:szCs w:val="21"/>
              </w:rPr>
              <w:t>动植物油</w:t>
            </w:r>
          </w:p>
        </w:tc>
        <w:tc>
          <w:tcPr>
            <w:tcW w:w="4435"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uto"/>
              <w:ind w:firstLine="0" w:firstLineChars="0"/>
              <w:jc w:val="center"/>
              <w:rPr>
                <w:rFonts w:cs="Times New Roman"/>
                <w:color w:val="auto"/>
                <w:kern w:val="21"/>
                <w:sz w:val="21"/>
                <w:szCs w:val="21"/>
              </w:rPr>
            </w:pPr>
            <w:r>
              <w:rPr>
                <w:rFonts w:hint="eastAsia" w:cs="Times New Roman"/>
                <w:color w:val="auto"/>
                <w:kern w:val="21"/>
                <w:sz w:val="21"/>
                <w:szCs w:val="21"/>
              </w:rPr>
              <w:t>100</w:t>
            </w:r>
          </w:p>
        </w:tc>
      </w:tr>
    </w:tbl>
    <w:p>
      <w:pPr>
        <w:ind w:firstLine="480"/>
        <w:rPr>
          <w:color w:val="auto"/>
        </w:rPr>
      </w:pPr>
      <w:r>
        <w:rPr>
          <w:rFonts w:hint="eastAsia"/>
          <w:color w:val="auto"/>
        </w:rPr>
        <w:t>喷淋塔和水帘柜更换废水近期达到茂名华清水务有限公司的进水标准后，通过槽罐车外运至茂名华清水务有限公司处理，进水标准详见下表。远期待电白新材料产业园区污水处理厂建设完成后，达到园区污水处理厂的进水标准进入园区污水处理厂处理。</w:t>
      </w:r>
    </w:p>
    <w:p>
      <w:pPr>
        <w:pStyle w:val="62"/>
        <w:spacing w:line="240" w:lineRule="auto"/>
        <w:ind w:firstLine="480"/>
        <w:rPr>
          <w:color w:val="auto"/>
          <w:szCs w:val="21"/>
          <w:highlight w:val="yellow"/>
        </w:rPr>
      </w:pPr>
      <w:r>
        <w:rPr>
          <w:color w:val="auto"/>
          <w:szCs w:val="21"/>
        </w:rPr>
        <w:t>表</w:t>
      </w:r>
      <w:r>
        <w:rPr>
          <w:rFonts w:hint="eastAsia"/>
          <w:color w:val="auto"/>
          <w:szCs w:val="21"/>
        </w:rPr>
        <w:t>6.1-2</w:t>
      </w:r>
      <w:r>
        <w:rPr>
          <w:color w:val="auto"/>
          <w:szCs w:val="21"/>
        </w:rPr>
        <w:t xml:space="preserve"> </w:t>
      </w:r>
      <w:r>
        <w:rPr>
          <w:rFonts w:hint="eastAsia"/>
          <w:color w:val="auto"/>
          <w:szCs w:val="21"/>
        </w:rPr>
        <w:t>本项目生产废水近期排放标准值 （单位：mg/L，pH无量纲）</w:t>
      </w:r>
    </w:p>
    <w:tbl>
      <w:tblPr>
        <w:tblStyle w:val="24"/>
        <w:tblW w:w="805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698"/>
        <w:gridCol w:w="1921"/>
        <w:gridCol w:w="44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69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uto"/>
              <w:ind w:firstLine="482" w:firstLineChars="0"/>
              <w:jc w:val="center"/>
              <w:rPr>
                <w:rFonts w:cs="Times New Roman"/>
                <w:b/>
                <w:color w:val="auto"/>
                <w:kern w:val="21"/>
                <w:sz w:val="21"/>
                <w:szCs w:val="21"/>
              </w:rPr>
            </w:pPr>
            <w:r>
              <w:rPr>
                <w:rFonts w:ascii="宋体" w:hAnsi="宋体" w:cs="Times New Roman"/>
                <w:b/>
                <w:color w:val="auto"/>
                <w:kern w:val="21"/>
                <w:sz w:val="21"/>
                <w:szCs w:val="21"/>
              </w:rPr>
              <w:t>废水类型</w:t>
            </w:r>
          </w:p>
        </w:tc>
        <w:tc>
          <w:tcPr>
            <w:tcW w:w="192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uto"/>
              <w:ind w:firstLine="0" w:firstLineChars="0"/>
              <w:jc w:val="center"/>
              <w:rPr>
                <w:rFonts w:cs="Times New Roman"/>
                <w:b/>
                <w:color w:val="auto"/>
                <w:kern w:val="21"/>
                <w:sz w:val="21"/>
                <w:szCs w:val="21"/>
              </w:rPr>
            </w:pPr>
            <w:r>
              <w:rPr>
                <w:rFonts w:ascii="宋体" w:hAnsi="宋体" w:cs="Times New Roman"/>
                <w:b/>
                <w:color w:val="auto"/>
                <w:kern w:val="21"/>
                <w:sz w:val="21"/>
                <w:szCs w:val="21"/>
              </w:rPr>
              <w:t>污染因子</w:t>
            </w:r>
          </w:p>
        </w:tc>
        <w:tc>
          <w:tcPr>
            <w:tcW w:w="44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uto"/>
              <w:ind w:firstLine="0" w:firstLineChars="0"/>
              <w:jc w:val="center"/>
              <w:rPr>
                <w:rFonts w:cs="Times New Roman"/>
                <w:b/>
                <w:color w:val="auto"/>
                <w:kern w:val="21"/>
                <w:sz w:val="21"/>
                <w:szCs w:val="21"/>
              </w:rPr>
            </w:pPr>
            <w:r>
              <w:rPr>
                <w:rFonts w:ascii="宋体" w:hAnsi="宋体" w:cs="Times New Roman"/>
                <w:b/>
                <w:color w:val="auto"/>
                <w:kern w:val="21"/>
                <w:sz w:val="21"/>
                <w:szCs w:val="21"/>
              </w:rPr>
              <w:t>茂名华清水务有限公司</w:t>
            </w:r>
            <w:r>
              <w:rPr>
                <w:rFonts w:hint="eastAsia" w:ascii="宋体" w:hAnsi="宋体" w:cs="Times New Roman"/>
                <w:b/>
                <w:color w:val="auto"/>
                <w:kern w:val="21"/>
                <w:sz w:val="21"/>
                <w:szCs w:val="21"/>
              </w:rPr>
              <w:t>的</w:t>
            </w:r>
            <w:r>
              <w:rPr>
                <w:rFonts w:ascii="宋体" w:hAnsi="宋体" w:cs="Times New Roman"/>
                <w:b/>
                <w:color w:val="auto"/>
                <w:kern w:val="21"/>
                <w:sz w:val="21"/>
                <w:szCs w:val="21"/>
              </w:rPr>
              <w:t>进水标准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698" w:type="dxa"/>
            <w:vMerge w:val="restart"/>
            <w:tcBorders>
              <w:top w:val="nil"/>
              <w:left w:val="single" w:color="000000" w:sz="4" w:space="0"/>
              <w:bottom w:val="single" w:color="000000" w:sz="4" w:space="0"/>
              <w:right w:val="single" w:color="000000" w:sz="4" w:space="0"/>
            </w:tcBorders>
            <w:vAlign w:val="center"/>
          </w:tcPr>
          <w:p>
            <w:pPr>
              <w:adjustRightInd w:val="0"/>
              <w:snapToGrid w:val="0"/>
              <w:spacing w:line="240" w:lineRule="auto"/>
              <w:ind w:firstLine="0" w:firstLineChars="0"/>
              <w:jc w:val="center"/>
              <w:rPr>
                <w:rFonts w:cs="Times New Roman"/>
                <w:color w:val="auto"/>
                <w:kern w:val="21"/>
                <w:sz w:val="21"/>
                <w:szCs w:val="21"/>
              </w:rPr>
            </w:pPr>
            <w:r>
              <w:rPr>
                <w:rFonts w:ascii="宋体" w:hAnsi="宋体" w:cs="Times New Roman"/>
                <w:color w:val="auto"/>
                <w:kern w:val="21"/>
                <w:sz w:val="21"/>
                <w:szCs w:val="21"/>
              </w:rPr>
              <w:t>喷淋塔及水帘柜更换的废水</w:t>
            </w:r>
          </w:p>
        </w:tc>
        <w:tc>
          <w:tcPr>
            <w:tcW w:w="1921" w:type="dxa"/>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pacing w:line="240" w:lineRule="auto"/>
              <w:ind w:firstLine="0" w:firstLineChars="0"/>
              <w:jc w:val="center"/>
              <w:rPr>
                <w:rFonts w:eastAsia="方正姚体" w:cs="Times New Roman"/>
                <w:color w:val="auto"/>
                <w:kern w:val="21"/>
                <w:sz w:val="21"/>
                <w:szCs w:val="21"/>
              </w:rPr>
            </w:pPr>
            <w:r>
              <w:rPr>
                <w:rFonts w:cs="Times New Roman"/>
                <w:color w:val="auto"/>
                <w:sz w:val="21"/>
                <w:szCs w:val="21"/>
              </w:rPr>
              <w:t>pH</w:t>
            </w:r>
          </w:p>
        </w:tc>
        <w:tc>
          <w:tcPr>
            <w:tcW w:w="44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uto"/>
              <w:ind w:firstLine="0" w:firstLineChars="0"/>
              <w:jc w:val="center"/>
              <w:rPr>
                <w:rFonts w:cs="Times New Roman"/>
                <w:color w:val="auto"/>
                <w:kern w:val="21"/>
                <w:sz w:val="21"/>
                <w:szCs w:val="21"/>
              </w:rPr>
            </w:pPr>
            <w:r>
              <w:rPr>
                <w:rFonts w:cs="Times New Roman"/>
                <w:color w:val="auto"/>
                <w:kern w:val="21"/>
                <w:sz w:val="21"/>
                <w:szCs w:val="21"/>
              </w:rPr>
              <w:t>6~9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698" w:type="dxa"/>
            <w:vMerge w:val="continue"/>
            <w:tcBorders>
              <w:top w:val="nil"/>
              <w:left w:val="single" w:color="000000" w:sz="4" w:space="0"/>
              <w:bottom w:val="single" w:color="000000" w:sz="4" w:space="0"/>
              <w:right w:val="single" w:color="000000" w:sz="4" w:space="0"/>
            </w:tcBorders>
            <w:vAlign w:val="center"/>
          </w:tcPr>
          <w:p>
            <w:pPr>
              <w:widowControl/>
              <w:spacing w:line="240" w:lineRule="auto"/>
              <w:ind w:firstLine="0" w:firstLineChars="0"/>
              <w:jc w:val="left"/>
              <w:rPr>
                <w:rFonts w:cs="Times New Roman"/>
                <w:color w:val="auto"/>
                <w:kern w:val="21"/>
                <w:sz w:val="21"/>
                <w:szCs w:val="21"/>
              </w:rPr>
            </w:pPr>
          </w:p>
        </w:tc>
        <w:tc>
          <w:tcPr>
            <w:tcW w:w="1921" w:type="dxa"/>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pacing w:line="240" w:lineRule="auto"/>
              <w:ind w:firstLine="0" w:firstLineChars="0"/>
              <w:jc w:val="center"/>
              <w:rPr>
                <w:rFonts w:eastAsia="方正姚体" w:cs="Times New Roman"/>
                <w:color w:val="auto"/>
                <w:kern w:val="21"/>
                <w:sz w:val="21"/>
                <w:szCs w:val="21"/>
              </w:rPr>
            </w:pPr>
            <w:r>
              <w:rPr>
                <w:rFonts w:cs="Times New Roman"/>
                <w:color w:val="auto"/>
                <w:sz w:val="21"/>
                <w:szCs w:val="21"/>
              </w:rPr>
              <w:t>CODcr</w:t>
            </w:r>
          </w:p>
        </w:tc>
        <w:tc>
          <w:tcPr>
            <w:tcW w:w="44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uto"/>
              <w:ind w:firstLine="0" w:firstLineChars="0"/>
              <w:jc w:val="center"/>
              <w:rPr>
                <w:rFonts w:cs="Times New Roman"/>
                <w:color w:val="auto"/>
                <w:kern w:val="21"/>
                <w:sz w:val="21"/>
                <w:szCs w:val="21"/>
              </w:rPr>
            </w:pPr>
            <w:r>
              <w:rPr>
                <w:rFonts w:cs="Times New Roman"/>
                <w:color w:val="auto"/>
                <w:kern w:val="21"/>
                <w:sz w:val="21"/>
                <w:szCs w:val="21"/>
              </w:rPr>
              <w:t>≤800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698" w:type="dxa"/>
            <w:vMerge w:val="continue"/>
            <w:tcBorders>
              <w:top w:val="nil"/>
              <w:left w:val="single" w:color="000000" w:sz="4" w:space="0"/>
              <w:bottom w:val="single" w:color="000000" w:sz="4" w:space="0"/>
              <w:right w:val="single" w:color="000000" w:sz="4" w:space="0"/>
            </w:tcBorders>
            <w:vAlign w:val="center"/>
          </w:tcPr>
          <w:p>
            <w:pPr>
              <w:widowControl/>
              <w:spacing w:line="240" w:lineRule="auto"/>
              <w:ind w:firstLine="0" w:firstLineChars="0"/>
              <w:jc w:val="left"/>
              <w:rPr>
                <w:rFonts w:cs="Times New Roman"/>
                <w:color w:val="auto"/>
                <w:kern w:val="21"/>
                <w:sz w:val="21"/>
                <w:szCs w:val="21"/>
              </w:rPr>
            </w:pPr>
          </w:p>
        </w:tc>
        <w:tc>
          <w:tcPr>
            <w:tcW w:w="1921" w:type="dxa"/>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pacing w:line="240" w:lineRule="auto"/>
              <w:ind w:firstLine="0" w:firstLineChars="0"/>
              <w:jc w:val="center"/>
              <w:rPr>
                <w:rFonts w:eastAsia="方正姚体" w:cs="Times New Roman"/>
                <w:color w:val="auto"/>
                <w:kern w:val="21"/>
                <w:sz w:val="21"/>
                <w:szCs w:val="21"/>
              </w:rPr>
            </w:pPr>
            <w:r>
              <w:rPr>
                <w:rFonts w:cs="Times New Roman"/>
                <w:color w:val="auto"/>
                <w:sz w:val="21"/>
                <w:szCs w:val="21"/>
              </w:rPr>
              <w:t>BOD</w:t>
            </w:r>
            <w:r>
              <w:rPr>
                <w:rFonts w:cs="Times New Roman"/>
                <w:color w:val="auto"/>
                <w:sz w:val="21"/>
                <w:szCs w:val="21"/>
                <w:vertAlign w:val="subscript"/>
              </w:rPr>
              <w:t>5</w:t>
            </w:r>
          </w:p>
        </w:tc>
        <w:tc>
          <w:tcPr>
            <w:tcW w:w="44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uto"/>
              <w:ind w:firstLine="0" w:firstLineChars="0"/>
              <w:jc w:val="center"/>
              <w:rPr>
                <w:rFonts w:cs="Times New Roman"/>
                <w:color w:val="auto"/>
                <w:kern w:val="21"/>
                <w:sz w:val="21"/>
                <w:szCs w:val="21"/>
              </w:rPr>
            </w:pPr>
            <w:r>
              <w:rPr>
                <w:rFonts w:cs="Times New Roman"/>
                <w:color w:val="auto"/>
                <w:kern w:val="21"/>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698" w:type="dxa"/>
            <w:vMerge w:val="continue"/>
            <w:tcBorders>
              <w:top w:val="nil"/>
              <w:left w:val="single" w:color="000000" w:sz="4" w:space="0"/>
              <w:bottom w:val="single" w:color="000000" w:sz="4" w:space="0"/>
              <w:right w:val="single" w:color="000000" w:sz="4" w:space="0"/>
            </w:tcBorders>
            <w:vAlign w:val="center"/>
          </w:tcPr>
          <w:p>
            <w:pPr>
              <w:widowControl/>
              <w:spacing w:line="240" w:lineRule="auto"/>
              <w:ind w:firstLine="0" w:firstLineChars="0"/>
              <w:jc w:val="left"/>
              <w:rPr>
                <w:rFonts w:cs="Times New Roman"/>
                <w:color w:val="auto"/>
                <w:kern w:val="21"/>
                <w:sz w:val="21"/>
                <w:szCs w:val="21"/>
              </w:rPr>
            </w:pPr>
          </w:p>
        </w:tc>
        <w:tc>
          <w:tcPr>
            <w:tcW w:w="1921" w:type="dxa"/>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pacing w:line="240" w:lineRule="auto"/>
              <w:ind w:firstLine="0" w:firstLineChars="0"/>
              <w:jc w:val="center"/>
              <w:rPr>
                <w:rFonts w:eastAsia="方正姚体" w:cs="Times New Roman"/>
                <w:color w:val="auto"/>
                <w:kern w:val="21"/>
                <w:sz w:val="21"/>
                <w:szCs w:val="21"/>
              </w:rPr>
            </w:pPr>
            <w:r>
              <w:rPr>
                <w:rFonts w:cs="Times New Roman"/>
                <w:color w:val="auto"/>
                <w:sz w:val="21"/>
                <w:szCs w:val="21"/>
              </w:rPr>
              <w:t>SS</w:t>
            </w:r>
          </w:p>
        </w:tc>
        <w:tc>
          <w:tcPr>
            <w:tcW w:w="44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uto"/>
              <w:ind w:firstLine="0" w:firstLineChars="0"/>
              <w:jc w:val="center"/>
              <w:rPr>
                <w:rFonts w:cs="Times New Roman"/>
                <w:color w:val="auto"/>
                <w:kern w:val="21"/>
                <w:sz w:val="21"/>
                <w:szCs w:val="21"/>
              </w:rPr>
            </w:pPr>
            <w:r>
              <w:rPr>
                <w:rFonts w:cs="Times New Roman"/>
                <w:color w:val="auto"/>
                <w:kern w:val="21"/>
                <w:sz w:val="21"/>
                <w:szCs w:val="21"/>
              </w:rPr>
              <w:t>≤300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698" w:type="dxa"/>
            <w:vMerge w:val="continue"/>
            <w:tcBorders>
              <w:top w:val="nil"/>
              <w:left w:val="single" w:color="000000" w:sz="4" w:space="0"/>
              <w:bottom w:val="single" w:color="000000" w:sz="4" w:space="0"/>
              <w:right w:val="single" w:color="000000" w:sz="4" w:space="0"/>
            </w:tcBorders>
            <w:vAlign w:val="center"/>
          </w:tcPr>
          <w:p>
            <w:pPr>
              <w:widowControl/>
              <w:spacing w:line="240" w:lineRule="auto"/>
              <w:ind w:firstLine="0" w:firstLineChars="0"/>
              <w:jc w:val="left"/>
              <w:rPr>
                <w:rFonts w:cs="Times New Roman"/>
                <w:color w:val="auto"/>
                <w:kern w:val="21"/>
                <w:sz w:val="21"/>
                <w:szCs w:val="21"/>
              </w:rPr>
            </w:pPr>
          </w:p>
        </w:tc>
        <w:tc>
          <w:tcPr>
            <w:tcW w:w="1921" w:type="dxa"/>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pacing w:line="240" w:lineRule="auto"/>
              <w:ind w:firstLine="0" w:firstLineChars="0"/>
              <w:jc w:val="center"/>
              <w:rPr>
                <w:rFonts w:eastAsia="方正姚体" w:cs="Times New Roman"/>
                <w:color w:val="auto"/>
                <w:kern w:val="21"/>
                <w:sz w:val="21"/>
                <w:szCs w:val="21"/>
              </w:rPr>
            </w:pPr>
            <w:r>
              <w:rPr>
                <w:rFonts w:ascii="宋体" w:hAnsi="宋体" w:cs="Times New Roman"/>
                <w:color w:val="auto"/>
                <w:sz w:val="21"/>
                <w:szCs w:val="21"/>
              </w:rPr>
              <w:t>氨氮</w:t>
            </w:r>
          </w:p>
        </w:tc>
        <w:tc>
          <w:tcPr>
            <w:tcW w:w="44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uto"/>
              <w:ind w:firstLine="0" w:firstLineChars="0"/>
              <w:jc w:val="center"/>
              <w:rPr>
                <w:rFonts w:cs="Times New Roman"/>
                <w:color w:val="auto"/>
                <w:kern w:val="21"/>
                <w:sz w:val="21"/>
                <w:szCs w:val="21"/>
              </w:rPr>
            </w:pPr>
            <w:r>
              <w:rPr>
                <w:rFonts w:cs="Times New Roman"/>
                <w:color w:val="auto"/>
                <w:kern w:val="21"/>
                <w:sz w:val="21"/>
                <w:szCs w:val="21"/>
              </w:rPr>
              <w:t>≤60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90" w:hRule="atLeast"/>
          <w:jc w:val="center"/>
        </w:trPr>
        <w:tc>
          <w:tcPr>
            <w:tcW w:w="1698" w:type="dxa"/>
            <w:vMerge w:val="continue"/>
            <w:tcBorders>
              <w:top w:val="nil"/>
              <w:left w:val="single" w:color="000000" w:sz="4" w:space="0"/>
              <w:bottom w:val="single" w:color="000000" w:sz="4" w:space="0"/>
              <w:right w:val="single" w:color="000000" w:sz="4" w:space="0"/>
            </w:tcBorders>
            <w:vAlign w:val="center"/>
          </w:tcPr>
          <w:p>
            <w:pPr>
              <w:widowControl/>
              <w:spacing w:line="240" w:lineRule="auto"/>
              <w:ind w:firstLine="0" w:firstLineChars="0"/>
              <w:jc w:val="left"/>
              <w:rPr>
                <w:rFonts w:cs="Times New Roman"/>
                <w:color w:val="auto"/>
                <w:kern w:val="21"/>
                <w:sz w:val="21"/>
                <w:szCs w:val="21"/>
              </w:rPr>
            </w:pPr>
          </w:p>
        </w:tc>
        <w:tc>
          <w:tcPr>
            <w:tcW w:w="1921" w:type="dxa"/>
            <w:tcBorders>
              <w:top w:val="single" w:color="000000" w:sz="4" w:space="0"/>
              <w:left w:val="single" w:color="000000" w:sz="4" w:space="0"/>
              <w:bottom w:val="single" w:color="000000" w:sz="4" w:space="0"/>
              <w:right w:val="single" w:color="000000" w:sz="4" w:space="0"/>
            </w:tcBorders>
            <w:vAlign w:val="center"/>
          </w:tcPr>
          <w:p>
            <w:pPr>
              <w:ind w:firstLine="0" w:firstLineChars="0"/>
              <w:jc w:val="center"/>
              <w:rPr>
                <w:rFonts w:cs="Times New Roman"/>
                <w:color w:val="auto"/>
                <w:kern w:val="21"/>
                <w:sz w:val="21"/>
                <w:szCs w:val="21"/>
              </w:rPr>
            </w:pPr>
            <w:r>
              <w:rPr>
                <w:rFonts w:ascii="宋体" w:hAnsi="宋体" w:cs="Times New Roman"/>
                <w:color w:val="auto"/>
                <w:sz w:val="21"/>
                <w:szCs w:val="21"/>
              </w:rPr>
              <w:t>总氮</w:t>
            </w:r>
          </w:p>
        </w:tc>
        <w:tc>
          <w:tcPr>
            <w:tcW w:w="44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uto"/>
              <w:ind w:firstLine="0" w:firstLineChars="0"/>
              <w:jc w:val="center"/>
              <w:rPr>
                <w:rFonts w:cs="Times New Roman"/>
                <w:color w:val="auto"/>
                <w:kern w:val="21"/>
                <w:sz w:val="21"/>
                <w:szCs w:val="21"/>
              </w:rPr>
            </w:pPr>
            <w:r>
              <w:rPr>
                <w:rFonts w:cs="Times New Roman"/>
                <w:color w:val="auto"/>
                <w:kern w:val="21"/>
                <w:sz w:val="21"/>
                <w:szCs w:val="21"/>
              </w:rPr>
              <w:t>≤80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698" w:type="dxa"/>
            <w:vMerge w:val="continue"/>
            <w:tcBorders>
              <w:top w:val="nil"/>
              <w:left w:val="single" w:color="000000" w:sz="4" w:space="0"/>
              <w:bottom w:val="single" w:color="000000" w:sz="4" w:space="0"/>
              <w:right w:val="single" w:color="000000" w:sz="4" w:space="0"/>
            </w:tcBorders>
            <w:vAlign w:val="center"/>
          </w:tcPr>
          <w:p>
            <w:pPr>
              <w:widowControl/>
              <w:spacing w:line="240" w:lineRule="auto"/>
              <w:ind w:firstLine="0" w:firstLineChars="0"/>
              <w:jc w:val="left"/>
              <w:rPr>
                <w:rFonts w:cs="Times New Roman"/>
                <w:color w:val="auto"/>
                <w:kern w:val="21"/>
                <w:sz w:val="21"/>
                <w:szCs w:val="21"/>
              </w:rPr>
            </w:pPr>
          </w:p>
        </w:tc>
        <w:tc>
          <w:tcPr>
            <w:tcW w:w="1921" w:type="dxa"/>
            <w:tcBorders>
              <w:top w:val="single" w:color="000000" w:sz="4" w:space="0"/>
              <w:left w:val="single" w:color="000000" w:sz="4" w:space="0"/>
              <w:bottom w:val="single" w:color="000000" w:sz="4" w:space="0"/>
              <w:right w:val="single" w:color="000000" w:sz="4" w:space="0"/>
            </w:tcBorders>
            <w:vAlign w:val="center"/>
          </w:tcPr>
          <w:p>
            <w:pPr>
              <w:ind w:firstLine="0" w:firstLineChars="0"/>
              <w:jc w:val="center"/>
              <w:rPr>
                <w:rFonts w:cs="Times New Roman"/>
                <w:color w:val="auto"/>
                <w:sz w:val="21"/>
                <w:szCs w:val="21"/>
              </w:rPr>
            </w:pPr>
            <w:r>
              <w:rPr>
                <w:rFonts w:ascii="宋体" w:hAnsi="宋体" w:cs="Times New Roman"/>
                <w:color w:val="auto"/>
                <w:sz w:val="21"/>
                <w:szCs w:val="21"/>
              </w:rPr>
              <w:t>总磷</w:t>
            </w:r>
          </w:p>
        </w:tc>
        <w:tc>
          <w:tcPr>
            <w:tcW w:w="44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uto"/>
              <w:ind w:firstLine="0" w:firstLineChars="0"/>
              <w:jc w:val="center"/>
              <w:rPr>
                <w:rFonts w:cs="Times New Roman"/>
                <w:color w:val="auto"/>
                <w:kern w:val="21"/>
                <w:sz w:val="21"/>
                <w:szCs w:val="21"/>
              </w:rPr>
            </w:pPr>
            <w:r>
              <w:rPr>
                <w:rFonts w:cs="Times New Roman"/>
                <w:color w:val="auto"/>
                <w:kern w:val="21"/>
                <w:sz w:val="21"/>
                <w:szCs w:val="21"/>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698" w:type="dxa"/>
            <w:vMerge w:val="continue"/>
            <w:tcBorders>
              <w:top w:val="nil"/>
              <w:left w:val="single" w:color="000000" w:sz="4" w:space="0"/>
              <w:bottom w:val="single" w:color="000000" w:sz="4" w:space="0"/>
              <w:right w:val="single" w:color="000000" w:sz="4" w:space="0"/>
            </w:tcBorders>
            <w:vAlign w:val="center"/>
          </w:tcPr>
          <w:p>
            <w:pPr>
              <w:widowControl/>
              <w:spacing w:line="240" w:lineRule="auto"/>
              <w:ind w:firstLine="0" w:firstLineChars="0"/>
              <w:jc w:val="left"/>
              <w:rPr>
                <w:rFonts w:cs="Times New Roman"/>
                <w:color w:val="auto"/>
                <w:kern w:val="21"/>
                <w:sz w:val="21"/>
                <w:szCs w:val="21"/>
              </w:rPr>
            </w:pPr>
          </w:p>
        </w:tc>
        <w:tc>
          <w:tcPr>
            <w:tcW w:w="1921" w:type="dxa"/>
            <w:tcBorders>
              <w:top w:val="single" w:color="000000" w:sz="4" w:space="0"/>
              <w:left w:val="single" w:color="000000" w:sz="4" w:space="0"/>
              <w:bottom w:val="single" w:color="000000" w:sz="4" w:space="0"/>
              <w:right w:val="single" w:color="000000" w:sz="4" w:space="0"/>
            </w:tcBorders>
            <w:vAlign w:val="center"/>
          </w:tcPr>
          <w:p>
            <w:pPr>
              <w:ind w:firstLine="0" w:firstLineChars="0"/>
              <w:jc w:val="center"/>
              <w:rPr>
                <w:rFonts w:cs="Times New Roman"/>
                <w:color w:val="auto"/>
                <w:sz w:val="21"/>
                <w:szCs w:val="21"/>
              </w:rPr>
            </w:pPr>
            <w:r>
              <w:rPr>
                <w:rFonts w:hint="eastAsia" w:ascii="宋体" w:hAnsi="宋体" w:cs="Times New Roman"/>
                <w:color w:val="auto"/>
                <w:sz w:val="21"/>
                <w:szCs w:val="21"/>
              </w:rPr>
              <w:t>（全盐量）</w:t>
            </w:r>
            <w:r>
              <w:rPr>
                <w:rFonts w:cs="Times New Roman"/>
                <w:color w:val="auto"/>
                <w:sz w:val="21"/>
                <w:szCs w:val="21"/>
              </w:rPr>
              <w:t>TDS</w:t>
            </w:r>
          </w:p>
        </w:tc>
        <w:tc>
          <w:tcPr>
            <w:tcW w:w="4434" w:type="dxa"/>
            <w:tcBorders>
              <w:top w:val="single" w:color="000000" w:sz="4" w:space="0"/>
              <w:left w:val="single" w:color="000000" w:sz="4" w:space="0"/>
              <w:bottom w:val="single" w:color="000000" w:sz="4" w:space="0"/>
              <w:right w:val="single" w:color="000000" w:sz="4" w:space="0"/>
            </w:tcBorders>
            <w:shd w:val="clear" w:color="auto" w:fill="FFFFFF"/>
            <w:vAlign w:val="center"/>
          </w:tcPr>
          <w:p>
            <w:pPr>
              <w:ind w:firstLine="0" w:firstLineChars="0"/>
              <w:jc w:val="center"/>
              <w:rPr>
                <w:rFonts w:cs="Times New Roman"/>
                <w:color w:val="auto"/>
                <w:sz w:val="21"/>
                <w:szCs w:val="21"/>
              </w:rPr>
            </w:pPr>
            <w:r>
              <w:rPr>
                <w:rFonts w:cs="Times New Roman"/>
                <w:color w:val="auto"/>
                <w:sz w:val="21"/>
                <w:szCs w:val="21"/>
              </w:rPr>
              <w:t>≤5000</w:t>
            </w:r>
          </w:p>
        </w:tc>
      </w:tr>
    </w:tbl>
    <w:p>
      <w:pPr>
        <w:pStyle w:val="62"/>
        <w:spacing w:line="240" w:lineRule="auto"/>
        <w:ind w:firstLine="480"/>
        <w:rPr>
          <w:color w:val="auto"/>
          <w:szCs w:val="21"/>
          <w:highlight w:val="yellow"/>
        </w:rPr>
      </w:pPr>
    </w:p>
    <w:p>
      <w:pPr>
        <w:pStyle w:val="3"/>
        <w:rPr>
          <w:color w:val="auto"/>
        </w:rPr>
      </w:pPr>
      <w:bookmarkStart w:id="65" w:name="_Toc10259"/>
      <w:r>
        <w:rPr>
          <w:rFonts w:hint="eastAsia"/>
          <w:color w:val="auto"/>
        </w:rPr>
        <w:t>废气</w:t>
      </w:r>
      <w:bookmarkEnd w:id="65"/>
    </w:p>
    <w:p>
      <w:pPr>
        <w:pStyle w:val="35"/>
        <w:spacing w:line="360" w:lineRule="auto"/>
        <w:ind w:firstLine="480" w:firstLineChars="200"/>
        <w:jc w:val="both"/>
        <w:rPr>
          <w:rFonts w:cs="Times New Roman"/>
          <w:b w:val="0"/>
          <w:color w:val="auto"/>
          <w:sz w:val="24"/>
        </w:rPr>
      </w:pPr>
      <w:r>
        <w:rPr>
          <w:rFonts w:ascii="Cambria Math" w:hAnsi="Cambria Math" w:cs="Cambria Math"/>
          <w:b w:val="0"/>
          <w:color w:val="auto"/>
          <w:sz w:val="24"/>
        </w:rPr>
        <w:t>①</w:t>
      </w:r>
      <w:r>
        <w:rPr>
          <w:rFonts w:cs="Times New Roman"/>
          <w:b w:val="0"/>
          <w:color w:val="auto"/>
          <w:sz w:val="24"/>
        </w:rPr>
        <w:t>排气筒DA001、DA002污染物排放标准</w:t>
      </w:r>
    </w:p>
    <w:p>
      <w:pPr>
        <w:pStyle w:val="35"/>
        <w:spacing w:line="360" w:lineRule="auto"/>
        <w:ind w:firstLine="480" w:firstLineChars="200"/>
        <w:jc w:val="both"/>
        <w:rPr>
          <w:rFonts w:cs="Times New Roman"/>
          <w:b w:val="0"/>
          <w:color w:val="auto"/>
          <w:sz w:val="24"/>
        </w:rPr>
      </w:pPr>
      <w:r>
        <w:rPr>
          <w:rFonts w:cs="Times New Roman"/>
          <w:b w:val="0"/>
          <w:color w:val="auto"/>
          <w:sz w:val="24"/>
        </w:rPr>
        <w:t>排气筒DA001：喷漆废气（喷漆房1）、烘干废气（烤漆炉1）、调漆废气、固化废气、危废间废气产生的NMHC、TVOC，喷漆废气（喷漆房1）、烘干废气（烤漆炉1）、调漆废气、危废间废气产生的苯系物（二甲苯）排放浓度执行广东省《固定污染源挥发性有机物综合排放标准》（DB44/ 2367—2022）表1中有机废气的最高允许浓度限值；喷漆废气（喷漆房1）、液化石油气燃烧废气产生的颗粒物排放浓度执行《关于印发〈工业炉窑大气污染综合治理方案〉的通知》（环大气〔2019〕56号）重点区域排放限值和广东省《大气污染物排放限值》（DB44/27-2001）第二时段二级标准（排放速率按50%执行）的较严值；液化石油气燃烧废气产生的SO2、NOx排放浓度执行《关于印发〈工业炉窑大气污染综合治理方案〉的通知》（环大气〔2019〕56号）重点区域排放限值要求；液化石油气燃烧废气产生的烟气黑度执行《工业炉窑大气污染物排放标准》（GB9078-1996）表2二类区其他炉窑排放限值；臭气浓度执行《恶臭污染物排放标准》（GB14554-93）表2对应的标准。</w:t>
      </w:r>
    </w:p>
    <w:p>
      <w:pPr>
        <w:pStyle w:val="35"/>
        <w:spacing w:line="360" w:lineRule="auto"/>
        <w:ind w:firstLine="480" w:firstLineChars="200"/>
        <w:jc w:val="both"/>
        <w:rPr>
          <w:rFonts w:cs="Times New Roman"/>
          <w:b w:val="0"/>
          <w:color w:val="auto"/>
          <w:sz w:val="24"/>
        </w:rPr>
      </w:pPr>
      <w:r>
        <w:rPr>
          <w:rFonts w:cs="Times New Roman"/>
          <w:b w:val="0"/>
          <w:color w:val="auto"/>
          <w:sz w:val="24"/>
        </w:rPr>
        <w:t>本项目排气筒DA002：胶合有机废气、清抹有机废气、喷漆废气（喷漆房2）、烘干废气（烤漆炉2）产生的NMHC、TVOC，喷漆废气（喷漆房2）、烘干废气（烤漆炉2）产生的苯系物（二甲苯）排放浓度执行广东省《固定污染源挥发性有机物综合排放标准》（DB44/ 2367—2022）表1中有机废气的最高允许浓度限值；喷漆废气（喷漆房2）、液化石油气燃烧废气产生的颗粒物排放浓度执行《关于印发〈工业炉窑大气污染综合治理方案〉的通知》（环大气〔2019〕56号）重点区域排放限值和广东省《大气污染物排放限值》（DB44/27-2001）第二时段二级标准（排放速率按50%执行）的较严值；液化石油气燃烧废气产生的SO2、NOx排放浓度执行《关于印发〈工业炉窑大气污染综合治理方案〉的通知》（环大气〔2019〕56号）重点区域排放限值要求；液化石油气燃烧废气产生的烟气黑度执行《工业炉窑大气污染物排放标准》（GB9078-1996）表2二类区其他炉窑排放限值；臭气浓度执行《恶臭污染物排放标准》（GB14554-93）表2对应的标准。</w:t>
      </w:r>
    </w:p>
    <w:p>
      <w:pPr>
        <w:pStyle w:val="35"/>
        <w:spacing w:line="360" w:lineRule="auto"/>
        <w:ind w:firstLine="480" w:firstLineChars="200"/>
        <w:jc w:val="both"/>
        <w:rPr>
          <w:rFonts w:cs="Times New Roman"/>
          <w:b w:val="0"/>
          <w:color w:val="auto"/>
          <w:sz w:val="24"/>
        </w:rPr>
      </w:pPr>
      <w:r>
        <w:rPr>
          <w:rFonts w:ascii="Cambria Math" w:hAnsi="Cambria Math" w:cs="Cambria Math"/>
          <w:b w:val="0"/>
          <w:color w:val="auto"/>
          <w:sz w:val="24"/>
        </w:rPr>
        <w:t>②</w:t>
      </w:r>
      <w:r>
        <w:rPr>
          <w:rFonts w:cs="Times New Roman"/>
          <w:b w:val="0"/>
          <w:color w:val="auto"/>
          <w:sz w:val="24"/>
        </w:rPr>
        <w:t>厂界污染物排放标准</w:t>
      </w:r>
    </w:p>
    <w:p>
      <w:pPr>
        <w:pStyle w:val="35"/>
        <w:spacing w:line="360" w:lineRule="auto"/>
        <w:ind w:firstLine="480" w:firstLineChars="200"/>
        <w:jc w:val="both"/>
        <w:rPr>
          <w:rFonts w:cs="Times New Roman"/>
          <w:b w:val="0"/>
          <w:color w:val="auto"/>
          <w:sz w:val="24"/>
        </w:rPr>
      </w:pPr>
      <w:r>
        <w:rPr>
          <w:rFonts w:cs="Times New Roman"/>
          <w:b w:val="0"/>
          <w:color w:val="auto"/>
          <w:sz w:val="24"/>
        </w:rPr>
        <w:t>项目厂界开料、装配、打磨工序中打磨、喷粉产生的颗粒物无组织排放浓度执行广东省《大气污染物排放限值》（DB44/27-2001）第二时段无组织排放监控浓度限值；胶合、门扇封花、焊罗马头工序中打磨粉尘（颗粒物、锰及其化合物、镍及其化合物）、焊框、胶合、门扇封花、焊罗马头工序产生的焊接烟尘（颗粒物、锰及其化合物、镍及其化合物）排放浓度执行广东省《大气污染物排放限值》（DB44/27-2001）第二时段无组织排放监控浓度限值；燃烧废气产生的二氧化硫、氮氧化物执行广东省《大气污染物排放限值》（DB44/27-2001）第二时段无组织排放监控浓度限值。生产过程产生的臭气浓度执行《恶臭污染物排放标准》（GB 14554-93）中的表1中厂界新改扩建二级标准。</w:t>
      </w:r>
    </w:p>
    <w:p>
      <w:pPr>
        <w:pStyle w:val="35"/>
        <w:spacing w:line="360" w:lineRule="auto"/>
        <w:ind w:firstLine="480" w:firstLineChars="200"/>
        <w:jc w:val="both"/>
        <w:rPr>
          <w:rFonts w:cs="Times New Roman"/>
          <w:b w:val="0"/>
          <w:color w:val="auto"/>
          <w:sz w:val="24"/>
        </w:rPr>
      </w:pPr>
      <w:r>
        <w:rPr>
          <w:rFonts w:ascii="Cambria Math" w:hAnsi="Cambria Math" w:cs="Cambria Math"/>
          <w:b w:val="0"/>
          <w:color w:val="auto"/>
          <w:sz w:val="24"/>
        </w:rPr>
        <w:t>③</w:t>
      </w:r>
      <w:r>
        <w:rPr>
          <w:rFonts w:cs="Times New Roman"/>
          <w:b w:val="0"/>
          <w:color w:val="auto"/>
          <w:sz w:val="24"/>
        </w:rPr>
        <w:t>厂区内污染物排放标准</w:t>
      </w:r>
    </w:p>
    <w:p>
      <w:pPr>
        <w:pStyle w:val="35"/>
        <w:spacing w:line="360" w:lineRule="auto"/>
        <w:ind w:firstLine="480" w:firstLineChars="200"/>
        <w:jc w:val="both"/>
        <w:rPr>
          <w:rFonts w:cs="Times New Roman"/>
          <w:b w:val="0"/>
          <w:color w:val="auto"/>
          <w:sz w:val="24"/>
        </w:rPr>
      </w:pPr>
      <w:r>
        <w:rPr>
          <w:rFonts w:cs="Times New Roman"/>
          <w:b w:val="0"/>
          <w:color w:val="auto"/>
          <w:sz w:val="24"/>
        </w:rPr>
        <w:t>本项目冲孔、胶合、清抹、固化、调漆、喷漆、烘干、洗枪、成品调试工序、危废间产生的有机废气无组织排放执行广东省《固定污染源挥发性有机物综合排放标准》（DB44/2367-2022）表3厂区内VOCs无组织排放限值。</w:t>
      </w:r>
    </w:p>
    <w:p>
      <w:pPr>
        <w:pStyle w:val="35"/>
        <w:spacing w:line="360" w:lineRule="auto"/>
        <w:ind w:firstLine="480" w:firstLineChars="200"/>
        <w:jc w:val="both"/>
        <w:rPr>
          <w:rFonts w:cs="Times New Roman"/>
          <w:b w:val="0"/>
          <w:color w:val="auto"/>
          <w:sz w:val="24"/>
        </w:rPr>
      </w:pPr>
      <w:r>
        <w:rPr>
          <w:rFonts w:ascii="Cambria Math" w:hAnsi="Cambria Math" w:cs="Cambria Math"/>
          <w:b w:val="0"/>
          <w:color w:val="auto"/>
          <w:sz w:val="24"/>
        </w:rPr>
        <w:t>④</w:t>
      </w:r>
      <w:r>
        <w:rPr>
          <w:rFonts w:cs="Times New Roman"/>
          <w:b w:val="0"/>
          <w:color w:val="auto"/>
          <w:sz w:val="24"/>
        </w:rPr>
        <w:t>厨房油烟执行《饮食业油烟排放标准》（GB18483-2001）小型规模的排放标准。</w:t>
      </w:r>
    </w:p>
    <w:p>
      <w:pPr>
        <w:pStyle w:val="35"/>
        <w:rPr>
          <w:color w:val="auto"/>
        </w:rPr>
      </w:pPr>
      <w:r>
        <w:rPr>
          <w:rFonts w:hint="eastAsia"/>
          <w:color w:val="auto"/>
        </w:rPr>
        <w:t xml:space="preserve">表 </w:t>
      </w:r>
      <w:r>
        <w:rPr>
          <w:color w:val="auto"/>
        </w:rPr>
        <w:fldChar w:fldCharType="begin"/>
      </w:r>
      <w:r>
        <w:rPr>
          <w:color w:val="auto"/>
        </w:rPr>
        <w:instrText xml:space="preserve"> </w:instrText>
      </w:r>
      <w:r>
        <w:rPr>
          <w:rFonts w:hint="eastAsia"/>
          <w:color w:val="auto"/>
        </w:rPr>
        <w:instrText xml:space="preserve">STYLEREF 2 \s</w:instrText>
      </w:r>
      <w:r>
        <w:rPr>
          <w:color w:val="auto"/>
        </w:rPr>
        <w:instrText xml:space="preserve"> </w:instrText>
      </w:r>
      <w:r>
        <w:rPr>
          <w:color w:val="auto"/>
        </w:rPr>
        <w:fldChar w:fldCharType="separate"/>
      </w:r>
      <w:r>
        <w:rPr>
          <w:color w:val="auto"/>
        </w:rPr>
        <w:t>6.2</w:t>
      </w:r>
      <w:r>
        <w:rPr>
          <w:color w:val="auto"/>
        </w:rPr>
        <w:fldChar w:fldCharType="end"/>
      </w:r>
      <w:r>
        <w:rPr>
          <w:color w:val="auto"/>
        </w:rPr>
        <w:noBreakHyphen/>
      </w:r>
      <w:r>
        <w:rPr>
          <w:rFonts w:hint="eastAsia"/>
          <w:color w:val="auto"/>
        </w:rPr>
        <w:t>3</w:t>
      </w:r>
      <w:r>
        <w:rPr>
          <w:color w:val="auto"/>
        </w:rPr>
        <w:t xml:space="preserve"> </w:t>
      </w:r>
      <w:r>
        <w:rPr>
          <w:rFonts w:hint="eastAsia"/>
          <w:color w:val="auto"/>
        </w:rPr>
        <w:t xml:space="preserve">本项目废气排放标准 </w:t>
      </w:r>
      <w:r>
        <w:rPr>
          <w:color w:val="auto"/>
        </w:rPr>
        <w:t xml:space="preserve"> </w:t>
      </w:r>
      <w:r>
        <w:rPr>
          <w:rFonts w:hint="eastAsia"/>
          <w:color w:val="auto"/>
        </w:rPr>
        <w:t>单位：</w:t>
      </w:r>
      <w:r>
        <w:rPr>
          <w:color w:val="auto"/>
        </w:rPr>
        <w:t>mg/</w:t>
      </w:r>
      <w:r>
        <w:rPr>
          <w:rFonts w:hint="eastAsia"/>
          <w:color w:val="auto"/>
        </w:rPr>
        <w:t>m³</w:t>
      </w:r>
    </w:p>
    <w:tbl>
      <w:tblPr>
        <w:tblStyle w:val="24"/>
        <w:tblW w:w="852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07"/>
        <w:gridCol w:w="931"/>
        <w:gridCol w:w="1365"/>
        <w:gridCol w:w="1146"/>
        <w:gridCol w:w="38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207" w:type="dxa"/>
            <w:tcBorders>
              <w:top w:val="single" w:color="auto" w:sz="4" w:space="0"/>
              <w:left w:val="single" w:color="auto" w:sz="4" w:space="0"/>
              <w:bottom w:val="single" w:color="auto" w:sz="4" w:space="0"/>
              <w:right w:val="single" w:color="auto" w:sz="4" w:space="0"/>
            </w:tcBorders>
            <w:vAlign w:val="center"/>
          </w:tcPr>
          <w:p>
            <w:pPr>
              <w:tabs>
                <w:tab w:val="left" w:pos="8280"/>
              </w:tabs>
              <w:spacing w:line="240" w:lineRule="auto"/>
              <w:ind w:firstLine="0" w:firstLineChars="0"/>
              <w:rPr>
                <w:rFonts w:cs="Times New Roman"/>
                <w:b/>
                <w:bCs/>
                <w:color w:val="auto"/>
                <w:sz w:val="21"/>
                <w:szCs w:val="21"/>
              </w:rPr>
            </w:pPr>
            <w:r>
              <w:rPr>
                <w:rFonts w:ascii="宋体" w:hAnsi="宋体" w:cs="Times New Roman"/>
                <w:b/>
                <w:bCs/>
                <w:color w:val="auto"/>
                <w:sz w:val="21"/>
                <w:szCs w:val="21"/>
              </w:rPr>
              <w:t>污染源</w:t>
            </w:r>
          </w:p>
        </w:tc>
        <w:tc>
          <w:tcPr>
            <w:tcW w:w="931" w:type="dxa"/>
            <w:tcBorders>
              <w:top w:val="single" w:color="auto" w:sz="4" w:space="0"/>
              <w:left w:val="single" w:color="auto" w:sz="4" w:space="0"/>
              <w:bottom w:val="single" w:color="auto" w:sz="4" w:space="0"/>
              <w:right w:val="single" w:color="auto" w:sz="4" w:space="0"/>
            </w:tcBorders>
            <w:vAlign w:val="center"/>
          </w:tcPr>
          <w:p>
            <w:pPr>
              <w:tabs>
                <w:tab w:val="left" w:pos="8280"/>
              </w:tabs>
              <w:spacing w:line="240" w:lineRule="auto"/>
              <w:ind w:firstLine="0" w:firstLineChars="0"/>
              <w:jc w:val="center"/>
              <w:rPr>
                <w:rFonts w:cs="Times New Roman"/>
                <w:b/>
                <w:bCs/>
                <w:color w:val="auto"/>
                <w:sz w:val="21"/>
                <w:szCs w:val="21"/>
              </w:rPr>
            </w:pPr>
            <w:r>
              <w:rPr>
                <w:rFonts w:ascii="宋体" w:hAnsi="宋体" w:cs="Times New Roman"/>
                <w:b/>
                <w:bCs/>
                <w:color w:val="auto"/>
                <w:sz w:val="21"/>
                <w:szCs w:val="21"/>
              </w:rPr>
              <w:t>污染物</w:t>
            </w:r>
          </w:p>
        </w:tc>
        <w:tc>
          <w:tcPr>
            <w:tcW w:w="1365" w:type="dxa"/>
            <w:tcBorders>
              <w:top w:val="single" w:color="auto" w:sz="4" w:space="0"/>
              <w:left w:val="single" w:color="auto" w:sz="4" w:space="0"/>
              <w:bottom w:val="single" w:color="auto" w:sz="4" w:space="0"/>
              <w:right w:val="single" w:color="auto" w:sz="4" w:space="0"/>
            </w:tcBorders>
            <w:vAlign w:val="center"/>
          </w:tcPr>
          <w:p>
            <w:pPr>
              <w:tabs>
                <w:tab w:val="left" w:pos="8280"/>
              </w:tabs>
              <w:spacing w:line="240" w:lineRule="auto"/>
              <w:ind w:firstLine="0" w:firstLineChars="0"/>
              <w:jc w:val="center"/>
              <w:rPr>
                <w:rFonts w:cs="Times New Roman"/>
                <w:b/>
                <w:bCs/>
                <w:color w:val="auto"/>
                <w:sz w:val="21"/>
                <w:szCs w:val="21"/>
              </w:rPr>
            </w:pPr>
            <w:r>
              <w:rPr>
                <w:rFonts w:ascii="宋体" w:hAnsi="宋体" w:cs="Times New Roman"/>
                <w:b/>
                <w:bCs/>
                <w:color w:val="auto"/>
                <w:sz w:val="21"/>
                <w:szCs w:val="21"/>
              </w:rPr>
              <w:t>排放浓度（</w:t>
            </w:r>
            <w:r>
              <w:rPr>
                <w:rFonts w:cs="Times New Roman"/>
                <w:b/>
                <w:bCs/>
                <w:color w:val="auto"/>
                <w:sz w:val="21"/>
                <w:szCs w:val="21"/>
              </w:rPr>
              <w:t>mg/m</w:t>
            </w:r>
            <w:r>
              <w:rPr>
                <w:rFonts w:cs="Times New Roman"/>
                <w:b/>
                <w:bCs/>
                <w:color w:val="auto"/>
                <w:sz w:val="21"/>
                <w:szCs w:val="21"/>
                <w:vertAlign w:val="superscript"/>
              </w:rPr>
              <w:t>3</w:t>
            </w:r>
            <w:r>
              <w:rPr>
                <w:rFonts w:ascii="宋体" w:hAnsi="宋体" w:cs="Times New Roman"/>
                <w:b/>
                <w:bCs/>
                <w:color w:val="auto"/>
                <w:sz w:val="21"/>
                <w:szCs w:val="21"/>
              </w:rPr>
              <w:t>）</w:t>
            </w:r>
          </w:p>
        </w:tc>
        <w:tc>
          <w:tcPr>
            <w:tcW w:w="1146" w:type="dxa"/>
            <w:tcBorders>
              <w:top w:val="single" w:color="auto" w:sz="4" w:space="0"/>
              <w:left w:val="single" w:color="auto" w:sz="4" w:space="0"/>
              <w:bottom w:val="single" w:color="auto" w:sz="4" w:space="0"/>
              <w:right w:val="single" w:color="auto" w:sz="4" w:space="0"/>
            </w:tcBorders>
            <w:vAlign w:val="center"/>
          </w:tcPr>
          <w:p>
            <w:pPr>
              <w:tabs>
                <w:tab w:val="left" w:pos="8280"/>
              </w:tabs>
              <w:spacing w:line="240" w:lineRule="auto"/>
              <w:ind w:firstLine="0" w:firstLineChars="0"/>
              <w:jc w:val="center"/>
              <w:rPr>
                <w:rFonts w:cs="Times New Roman"/>
                <w:b/>
                <w:bCs/>
                <w:color w:val="auto"/>
                <w:sz w:val="21"/>
                <w:szCs w:val="21"/>
              </w:rPr>
            </w:pPr>
            <w:r>
              <w:rPr>
                <w:rFonts w:ascii="宋体" w:hAnsi="宋体" w:cs="Times New Roman"/>
                <w:b/>
                <w:bCs/>
                <w:color w:val="auto"/>
                <w:sz w:val="21"/>
                <w:szCs w:val="21"/>
              </w:rPr>
              <w:t>排放速率（</w:t>
            </w:r>
            <w:r>
              <w:rPr>
                <w:rFonts w:cs="Times New Roman"/>
                <w:b/>
                <w:bCs/>
                <w:color w:val="auto"/>
                <w:sz w:val="21"/>
                <w:szCs w:val="21"/>
              </w:rPr>
              <w:t>kg/h</w:t>
            </w:r>
            <w:r>
              <w:rPr>
                <w:rFonts w:ascii="宋体" w:hAnsi="宋体" w:cs="Times New Roman"/>
                <w:b/>
                <w:bCs/>
                <w:color w:val="auto"/>
                <w:sz w:val="21"/>
                <w:szCs w:val="21"/>
              </w:rPr>
              <w:t>）</w:t>
            </w:r>
          </w:p>
        </w:tc>
        <w:tc>
          <w:tcPr>
            <w:tcW w:w="3873" w:type="dxa"/>
            <w:tcBorders>
              <w:top w:val="single" w:color="auto" w:sz="4" w:space="0"/>
              <w:left w:val="single" w:color="auto" w:sz="4" w:space="0"/>
              <w:bottom w:val="single" w:color="auto" w:sz="4" w:space="0"/>
              <w:right w:val="single" w:color="auto" w:sz="4" w:space="0"/>
            </w:tcBorders>
            <w:vAlign w:val="center"/>
          </w:tcPr>
          <w:p>
            <w:pPr>
              <w:tabs>
                <w:tab w:val="left" w:pos="8280"/>
              </w:tabs>
              <w:spacing w:line="240" w:lineRule="auto"/>
              <w:ind w:firstLine="0" w:firstLineChars="0"/>
              <w:jc w:val="center"/>
              <w:rPr>
                <w:rFonts w:cs="Times New Roman"/>
                <w:b/>
                <w:bCs/>
                <w:color w:val="auto"/>
                <w:sz w:val="21"/>
                <w:szCs w:val="21"/>
              </w:rPr>
            </w:pPr>
            <w:r>
              <w:rPr>
                <w:rFonts w:ascii="宋体" w:hAnsi="宋体" w:cs="Times New Roman"/>
                <w:b/>
                <w:bCs/>
                <w:color w:val="auto"/>
                <w:sz w:val="21"/>
                <w:szCs w:val="21"/>
              </w:rPr>
              <w:t>排放标准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27" w:hRule="atLeast"/>
          <w:jc w:val="center"/>
        </w:trPr>
        <w:tc>
          <w:tcPr>
            <w:tcW w:w="1207" w:type="dxa"/>
            <w:vMerge w:val="restart"/>
            <w:tcBorders>
              <w:top w:val="nil"/>
              <w:left w:val="single" w:color="auto" w:sz="4" w:space="0"/>
              <w:bottom w:val="single" w:color="auto" w:sz="4" w:space="0"/>
              <w:right w:val="single" w:color="auto" w:sz="4" w:space="0"/>
            </w:tcBorders>
            <w:vAlign w:val="center"/>
          </w:tcPr>
          <w:p>
            <w:pPr>
              <w:tabs>
                <w:tab w:val="left" w:pos="8280"/>
              </w:tabs>
              <w:spacing w:line="240" w:lineRule="auto"/>
              <w:ind w:firstLine="0" w:firstLineChars="0"/>
              <w:jc w:val="center"/>
              <w:rPr>
                <w:rFonts w:cs="Times New Roman"/>
                <w:color w:val="auto"/>
                <w:sz w:val="21"/>
                <w:szCs w:val="21"/>
              </w:rPr>
            </w:pPr>
            <w:r>
              <w:rPr>
                <w:rFonts w:hint="eastAsia" w:ascii="宋体" w:hAnsi="宋体" w:cs="Times New Roman"/>
                <w:color w:val="auto"/>
                <w:sz w:val="21"/>
                <w:szCs w:val="21"/>
              </w:rPr>
              <w:t>排气筒</w:t>
            </w:r>
            <w:r>
              <w:rPr>
                <w:rFonts w:hint="eastAsia" w:cs="Times New Roman"/>
                <w:color w:val="auto"/>
                <w:sz w:val="21"/>
                <w:szCs w:val="21"/>
              </w:rPr>
              <w:t>DA001</w:t>
            </w:r>
            <w:r>
              <w:rPr>
                <w:rFonts w:hint="eastAsia" w:ascii="宋体" w:hAnsi="宋体" w:cs="Times New Roman"/>
                <w:color w:val="auto"/>
                <w:sz w:val="21"/>
                <w:szCs w:val="21"/>
              </w:rPr>
              <w:t>、</w:t>
            </w:r>
            <w:r>
              <w:rPr>
                <w:rFonts w:hint="eastAsia" w:cs="Times New Roman"/>
                <w:color w:val="auto"/>
                <w:sz w:val="21"/>
                <w:szCs w:val="21"/>
              </w:rPr>
              <w:t>DA002</w:t>
            </w:r>
          </w:p>
        </w:tc>
        <w:tc>
          <w:tcPr>
            <w:tcW w:w="931" w:type="dxa"/>
            <w:tcBorders>
              <w:top w:val="single" w:color="auto" w:sz="4" w:space="0"/>
              <w:left w:val="single" w:color="auto" w:sz="4" w:space="0"/>
              <w:bottom w:val="single" w:color="auto" w:sz="4" w:space="0"/>
              <w:right w:val="single" w:color="auto" w:sz="4" w:space="0"/>
            </w:tcBorders>
            <w:vAlign w:val="center"/>
          </w:tcPr>
          <w:p>
            <w:pPr>
              <w:tabs>
                <w:tab w:val="left" w:pos="8280"/>
              </w:tabs>
              <w:spacing w:line="240" w:lineRule="auto"/>
              <w:ind w:firstLine="0" w:firstLineChars="0"/>
              <w:jc w:val="center"/>
              <w:rPr>
                <w:rFonts w:cs="Times New Roman"/>
                <w:color w:val="auto"/>
                <w:sz w:val="21"/>
                <w:szCs w:val="21"/>
              </w:rPr>
            </w:pPr>
            <w:r>
              <w:rPr>
                <w:rFonts w:cs="Times New Roman"/>
                <w:color w:val="auto"/>
                <w:sz w:val="21"/>
                <w:szCs w:val="21"/>
              </w:rPr>
              <w:t>TVOC</w:t>
            </w:r>
          </w:p>
        </w:tc>
        <w:tc>
          <w:tcPr>
            <w:tcW w:w="1365" w:type="dxa"/>
            <w:tcBorders>
              <w:top w:val="single" w:color="auto" w:sz="4" w:space="0"/>
              <w:left w:val="single" w:color="auto" w:sz="4" w:space="0"/>
              <w:bottom w:val="single" w:color="auto" w:sz="4" w:space="0"/>
              <w:right w:val="single" w:color="auto" w:sz="4" w:space="0"/>
            </w:tcBorders>
            <w:vAlign w:val="center"/>
          </w:tcPr>
          <w:p>
            <w:pPr>
              <w:tabs>
                <w:tab w:val="left" w:pos="8280"/>
              </w:tabs>
              <w:spacing w:line="240" w:lineRule="auto"/>
              <w:ind w:firstLine="0" w:firstLineChars="0"/>
              <w:jc w:val="center"/>
              <w:rPr>
                <w:rFonts w:cs="Times New Roman"/>
                <w:color w:val="auto"/>
                <w:sz w:val="21"/>
                <w:szCs w:val="21"/>
              </w:rPr>
            </w:pPr>
            <w:r>
              <w:rPr>
                <w:rFonts w:cs="Times New Roman"/>
                <w:color w:val="auto"/>
                <w:sz w:val="21"/>
                <w:szCs w:val="21"/>
              </w:rPr>
              <w:t>100</w:t>
            </w:r>
          </w:p>
        </w:tc>
        <w:tc>
          <w:tcPr>
            <w:tcW w:w="1146" w:type="dxa"/>
            <w:tcBorders>
              <w:top w:val="single" w:color="auto" w:sz="4" w:space="0"/>
              <w:left w:val="single" w:color="auto" w:sz="4" w:space="0"/>
              <w:bottom w:val="single" w:color="auto" w:sz="4" w:space="0"/>
              <w:right w:val="single" w:color="auto" w:sz="4" w:space="0"/>
            </w:tcBorders>
            <w:vAlign w:val="center"/>
          </w:tcPr>
          <w:p>
            <w:pPr>
              <w:tabs>
                <w:tab w:val="left" w:pos="8280"/>
              </w:tabs>
              <w:spacing w:line="240" w:lineRule="auto"/>
              <w:ind w:firstLine="0" w:firstLineChars="0"/>
              <w:jc w:val="center"/>
              <w:rPr>
                <w:rFonts w:cs="Times New Roman"/>
                <w:color w:val="auto"/>
                <w:sz w:val="21"/>
                <w:szCs w:val="21"/>
              </w:rPr>
            </w:pPr>
            <w:r>
              <w:rPr>
                <w:rFonts w:cs="Times New Roman"/>
                <w:color w:val="auto"/>
                <w:sz w:val="21"/>
                <w:szCs w:val="21"/>
              </w:rPr>
              <w:t>/</w:t>
            </w:r>
          </w:p>
        </w:tc>
        <w:tc>
          <w:tcPr>
            <w:tcW w:w="3873" w:type="dxa"/>
            <w:vMerge w:val="restart"/>
            <w:tcBorders>
              <w:top w:val="nil"/>
              <w:left w:val="single" w:color="auto" w:sz="4" w:space="0"/>
              <w:bottom w:val="single" w:color="auto" w:sz="4" w:space="0"/>
              <w:right w:val="single" w:color="auto" w:sz="4" w:space="0"/>
            </w:tcBorders>
            <w:vAlign w:val="center"/>
          </w:tcPr>
          <w:p>
            <w:pPr>
              <w:tabs>
                <w:tab w:val="left" w:pos="8280"/>
              </w:tabs>
              <w:spacing w:line="240" w:lineRule="auto"/>
              <w:ind w:firstLine="0" w:firstLineChars="0"/>
              <w:jc w:val="center"/>
              <w:rPr>
                <w:rFonts w:cs="Times New Roman"/>
                <w:color w:val="auto"/>
                <w:sz w:val="21"/>
                <w:szCs w:val="21"/>
              </w:rPr>
            </w:pPr>
            <w:r>
              <w:rPr>
                <w:rFonts w:ascii="宋体" w:hAnsi="宋体" w:cs="Times New Roman"/>
                <w:color w:val="auto"/>
                <w:sz w:val="21"/>
                <w:szCs w:val="21"/>
              </w:rPr>
              <w:t>广东省《固定污染源挥发性有机物综合排放标准》（</w:t>
            </w:r>
            <w:r>
              <w:rPr>
                <w:rFonts w:cs="Times New Roman"/>
                <w:color w:val="auto"/>
                <w:sz w:val="21"/>
                <w:szCs w:val="21"/>
              </w:rPr>
              <w:t>DB44/ 2367—2022</w:t>
            </w:r>
            <w:r>
              <w:rPr>
                <w:rFonts w:ascii="宋体" w:hAnsi="宋体" w:cs="Times New Roman"/>
                <w:color w:val="auto"/>
                <w:sz w:val="21"/>
                <w:szCs w:val="21"/>
              </w:rPr>
              <w:t>）表</w:t>
            </w:r>
            <w:r>
              <w:rPr>
                <w:rFonts w:cs="Times New Roman"/>
                <w:color w:val="auto"/>
                <w:sz w:val="21"/>
                <w:szCs w:val="21"/>
              </w:rPr>
              <w:t>1</w:t>
            </w:r>
            <w:r>
              <w:rPr>
                <w:rFonts w:ascii="宋体" w:hAnsi="宋体" w:cs="Times New Roman"/>
                <w:color w:val="auto"/>
                <w:sz w:val="21"/>
                <w:szCs w:val="21"/>
              </w:rPr>
              <w:t>中有机废气的最高允许浓度限值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207"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931" w:type="dxa"/>
            <w:tcBorders>
              <w:top w:val="single" w:color="auto" w:sz="4" w:space="0"/>
              <w:left w:val="single" w:color="auto" w:sz="4" w:space="0"/>
              <w:bottom w:val="single" w:color="auto" w:sz="4" w:space="0"/>
              <w:right w:val="single" w:color="auto" w:sz="4" w:space="0"/>
            </w:tcBorders>
            <w:vAlign w:val="center"/>
          </w:tcPr>
          <w:p>
            <w:pPr>
              <w:tabs>
                <w:tab w:val="left" w:pos="8280"/>
              </w:tabs>
              <w:spacing w:line="240" w:lineRule="auto"/>
              <w:ind w:firstLine="0" w:firstLineChars="0"/>
              <w:jc w:val="center"/>
              <w:rPr>
                <w:rFonts w:cs="Times New Roman"/>
                <w:color w:val="auto"/>
                <w:sz w:val="21"/>
                <w:szCs w:val="21"/>
              </w:rPr>
            </w:pPr>
            <w:r>
              <w:rPr>
                <w:rFonts w:cs="Times New Roman"/>
                <w:color w:val="auto"/>
                <w:sz w:val="21"/>
                <w:szCs w:val="21"/>
              </w:rPr>
              <w:t>NMHC</w:t>
            </w:r>
          </w:p>
        </w:tc>
        <w:tc>
          <w:tcPr>
            <w:tcW w:w="1365" w:type="dxa"/>
            <w:tcBorders>
              <w:top w:val="single" w:color="auto" w:sz="4" w:space="0"/>
              <w:left w:val="single" w:color="auto" w:sz="4" w:space="0"/>
              <w:bottom w:val="single" w:color="auto" w:sz="4" w:space="0"/>
              <w:right w:val="single" w:color="auto" w:sz="4" w:space="0"/>
            </w:tcBorders>
            <w:vAlign w:val="center"/>
          </w:tcPr>
          <w:p>
            <w:pPr>
              <w:tabs>
                <w:tab w:val="left" w:pos="8280"/>
              </w:tabs>
              <w:spacing w:line="240" w:lineRule="auto"/>
              <w:ind w:firstLine="0" w:firstLineChars="0"/>
              <w:jc w:val="center"/>
              <w:rPr>
                <w:rFonts w:cs="Times New Roman"/>
                <w:color w:val="auto"/>
                <w:sz w:val="21"/>
                <w:szCs w:val="21"/>
              </w:rPr>
            </w:pPr>
            <w:r>
              <w:rPr>
                <w:rFonts w:cs="Times New Roman"/>
                <w:color w:val="auto"/>
                <w:sz w:val="21"/>
                <w:szCs w:val="21"/>
              </w:rPr>
              <w:t>80</w:t>
            </w:r>
          </w:p>
        </w:tc>
        <w:tc>
          <w:tcPr>
            <w:tcW w:w="1146" w:type="dxa"/>
            <w:tcBorders>
              <w:top w:val="single" w:color="auto" w:sz="4" w:space="0"/>
              <w:left w:val="single" w:color="auto" w:sz="4" w:space="0"/>
              <w:bottom w:val="single" w:color="auto" w:sz="4" w:space="0"/>
              <w:right w:val="single" w:color="auto" w:sz="4" w:space="0"/>
            </w:tcBorders>
            <w:vAlign w:val="center"/>
          </w:tcPr>
          <w:p>
            <w:pPr>
              <w:tabs>
                <w:tab w:val="left" w:pos="8280"/>
              </w:tabs>
              <w:spacing w:line="240" w:lineRule="auto"/>
              <w:ind w:firstLine="0" w:firstLineChars="0"/>
              <w:jc w:val="center"/>
              <w:rPr>
                <w:rFonts w:cs="Times New Roman"/>
                <w:color w:val="auto"/>
                <w:sz w:val="21"/>
                <w:szCs w:val="21"/>
              </w:rPr>
            </w:pPr>
            <w:r>
              <w:rPr>
                <w:rFonts w:cs="Times New Roman"/>
                <w:color w:val="auto"/>
                <w:sz w:val="21"/>
                <w:szCs w:val="21"/>
              </w:rPr>
              <w:t>/</w:t>
            </w:r>
          </w:p>
        </w:tc>
        <w:tc>
          <w:tcPr>
            <w:tcW w:w="3873"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207"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931" w:type="dxa"/>
            <w:tcBorders>
              <w:top w:val="single" w:color="auto" w:sz="4" w:space="0"/>
              <w:left w:val="single" w:color="auto" w:sz="4" w:space="0"/>
              <w:bottom w:val="single" w:color="auto" w:sz="4" w:space="0"/>
              <w:right w:val="single" w:color="auto" w:sz="4" w:space="0"/>
            </w:tcBorders>
            <w:vAlign w:val="center"/>
          </w:tcPr>
          <w:p>
            <w:pPr>
              <w:tabs>
                <w:tab w:val="left" w:pos="8280"/>
              </w:tabs>
              <w:spacing w:line="240" w:lineRule="auto"/>
              <w:ind w:firstLine="0" w:firstLineChars="0"/>
              <w:jc w:val="center"/>
              <w:rPr>
                <w:rFonts w:cs="Times New Roman"/>
                <w:color w:val="auto"/>
                <w:sz w:val="21"/>
                <w:szCs w:val="21"/>
              </w:rPr>
            </w:pPr>
            <w:r>
              <w:rPr>
                <w:rFonts w:hint="eastAsia" w:ascii="宋体" w:hAnsi="宋体" w:cs="Times New Roman"/>
                <w:color w:val="auto"/>
                <w:sz w:val="21"/>
                <w:szCs w:val="21"/>
              </w:rPr>
              <w:t>苯系物</w:t>
            </w:r>
          </w:p>
        </w:tc>
        <w:tc>
          <w:tcPr>
            <w:tcW w:w="1365" w:type="dxa"/>
            <w:tcBorders>
              <w:top w:val="single" w:color="auto" w:sz="4" w:space="0"/>
              <w:left w:val="single" w:color="auto" w:sz="4" w:space="0"/>
              <w:bottom w:val="single" w:color="auto" w:sz="4" w:space="0"/>
              <w:right w:val="single" w:color="auto" w:sz="4" w:space="0"/>
            </w:tcBorders>
            <w:vAlign w:val="center"/>
          </w:tcPr>
          <w:p>
            <w:pPr>
              <w:tabs>
                <w:tab w:val="left" w:pos="8280"/>
              </w:tabs>
              <w:spacing w:line="240" w:lineRule="auto"/>
              <w:ind w:firstLine="0" w:firstLineChars="0"/>
              <w:jc w:val="center"/>
              <w:rPr>
                <w:rFonts w:cs="Times New Roman"/>
                <w:color w:val="auto"/>
                <w:sz w:val="21"/>
                <w:szCs w:val="21"/>
              </w:rPr>
            </w:pPr>
            <w:r>
              <w:rPr>
                <w:rFonts w:hint="eastAsia" w:cs="Times New Roman"/>
                <w:color w:val="auto"/>
                <w:sz w:val="21"/>
                <w:szCs w:val="21"/>
              </w:rPr>
              <w:t>40</w:t>
            </w:r>
          </w:p>
        </w:tc>
        <w:tc>
          <w:tcPr>
            <w:tcW w:w="1146" w:type="dxa"/>
            <w:tcBorders>
              <w:top w:val="single" w:color="auto" w:sz="4" w:space="0"/>
              <w:left w:val="single" w:color="auto" w:sz="4" w:space="0"/>
              <w:bottom w:val="single" w:color="auto" w:sz="4" w:space="0"/>
              <w:right w:val="single" w:color="auto" w:sz="4" w:space="0"/>
            </w:tcBorders>
            <w:vAlign w:val="center"/>
          </w:tcPr>
          <w:p>
            <w:pPr>
              <w:tabs>
                <w:tab w:val="left" w:pos="8280"/>
              </w:tabs>
              <w:spacing w:line="240" w:lineRule="auto"/>
              <w:ind w:firstLine="0" w:firstLineChars="0"/>
              <w:jc w:val="center"/>
              <w:rPr>
                <w:rFonts w:cs="Times New Roman"/>
                <w:color w:val="auto"/>
                <w:sz w:val="21"/>
                <w:szCs w:val="21"/>
              </w:rPr>
            </w:pPr>
            <w:r>
              <w:rPr>
                <w:rFonts w:hint="eastAsia" w:cs="Times New Roman"/>
                <w:color w:val="auto"/>
                <w:sz w:val="21"/>
                <w:szCs w:val="21"/>
              </w:rPr>
              <w:t>/</w:t>
            </w:r>
          </w:p>
        </w:tc>
        <w:tc>
          <w:tcPr>
            <w:tcW w:w="3873"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207"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931" w:type="dxa"/>
            <w:tcBorders>
              <w:top w:val="single" w:color="auto" w:sz="4" w:space="0"/>
              <w:left w:val="single" w:color="auto" w:sz="4" w:space="0"/>
              <w:bottom w:val="single" w:color="auto" w:sz="4" w:space="0"/>
              <w:right w:val="single" w:color="auto" w:sz="4" w:space="0"/>
            </w:tcBorders>
            <w:vAlign w:val="center"/>
          </w:tcPr>
          <w:p>
            <w:pPr>
              <w:tabs>
                <w:tab w:val="left" w:pos="8280"/>
              </w:tabs>
              <w:spacing w:line="240" w:lineRule="auto"/>
              <w:ind w:firstLine="0" w:firstLineChars="0"/>
              <w:jc w:val="center"/>
              <w:rPr>
                <w:rFonts w:cs="Times New Roman"/>
                <w:color w:val="auto"/>
                <w:sz w:val="21"/>
                <w:szCs w:val="21"/>
              </w:rPr>
            </w:pPr>
            <w:r>
              <w:rPr>
                <w:rFonts w:ascii="宋体" w:hAnsi="宋体" w:cs="Times New Roman"/>
                <w:color w:val="auto"/>
                <w:sz w:val="21"/>
                <w:szCs w:val="21"/>
              </w:rPr>
              <w:t>臭气浓度</w:t>
            </w:r>
          </w:p>
        </w:tc>
        <w:tc>
          <w:tcPr>
            <w:tcW w:w="1365" w:type="dxa"/>
            <w:tcBorders>
              <w:top w:val="single" w:color="auto" w:sz="4" w:space="0"/>
              <w:left w:val="single" w:color="auto" w:sz="4" w:space="0"/>
              <w:bottom w:val="single" w:color="auto" w:sz="4" w:space="0"/>
              <w:right w:val="single" w:color="auto" w:sz="4" w:space="0"/>
            </w:tcBorders>
            <w:vAlign w:val="center"/>
          </w:tcPr>
          <w:p>
            <w:pPr>
              <w:tabs>
                <w:tab w:val="left" w:pos="8280"/>
              </w:tabs>
              <w:spacing w:line="240" w:lineRule="auto"/>
              <w:ind w:firstLine="0" w:firstLineChars="0"/>
              <w:jc w:val="center"/>
              <w:rPr>
                <w:rFonts w:cs="Times New Roman"/>
                <w:color w:val="auto"/>
                <w:sz w:val="21"/>
                <w:szCs w:val="21"/>
              </w:rPr>
            </w:pPr>
            <w:r>
              <w:rPr>
                <w:rFonts w:cs="Times New Roman"/>
                <w:color w:val="auto"/>
                <w:sz w:val="21"/>
                <w:szCs w:val="21"/>
              </w:rPr>
              <w:t>2000</w:t>
            </w:r>
            <w:r>
              <w:rPr>
                <w:rFonts w:ascii="宋体" w:hAnsi="宋体" w:cs="Times New Roman"/>
                <w:color w:val="auto"/>
                <w:sz w:val="21"/>
                <w:szCs w:val="21"/>
              </w:rPr>
              <w:t>（无量纲）</w:t>
            </w:r>
          </w:p>
        </w:tc>
        <w:tc>
          <w:tcPr>
            <w:tcW w:w="1146" w:type="dxa"/>
            <w:tcBorders>
              <w:top w:val="single" w:color="auto" w:sz="4" w:space="0"/>
              <w:left w:val="single" w:color="auto" w:sz="4" w:space="0"/>
              <w:bottom w:val="single" w:color="auto" w:sz="4" w:space="0"/>
              <w:right w:val="single" w:color="auto" w:sz="4" w:space="0"/>
            </w:tcBorders>
            <w:vAlign w:val="center"/>
          </w:tcPr>
          <w:p>
            <w:pPr>
              <w:tabs>
                <w:tab w:val="left" w:pos="8280"/>
              </w:tabs>
              <w:spacing w:line="240" w:lineRule="auto"/>
              <w:ind w:firstLine="0" w:firstLineChars="0"/>
              <w:jc w:val="center"/>
              <w:rPr>
                <w:rFonts w:cs="Times New Roman"/>
                <w:color w:val="auto"/>
                <w:sz w:val="21"/>
                <w:szCs w:val="21"/>
              </w:rPr>
            </w:pPr>
            <w:r>
              <w:rPr>
                <w:rFonts w:cs="Times New Roman"/>
                <w:color w:val="auto"/>
                <w:sz w:val="21"/>
                <w:szCs w:val="21"/>
              </w:rPr>
              <w:t>/</w:t>
            </w:r>
          </w:p>
        </w:tc>
        <w:tc>
          <w:tcPr>
            <w:tcW w:w="3873" w:type="dxa"/>
            <w:tcBorders>
              <w:top w:val="single" w:color="auto" w:sz="4" w:space="0"/>
              <w:left w:val="single" w:color="auto" w:sz="4" w:space="0"/>
              <w:bottom w:val="single" w:color="auto" w:sz="4" w:space="0"/>
              <w:right w:val="single" w:color="auto" w:sz="4" w:space="0"/>
            </w:tcBorders>
            <w:vAlign w:val="center"/>
          </w:tcPr>
          <w:p>
            <w:pPr>
              <w:tabs>
                <w:tab w:val="left" w:pos="8280"/>
              </w:tabs>
              <w:spacing w:line="240" w:lineRule="auto"/>
              <w:ind w:firstLine="0" w:firstLineChars="0"/>
              <w:jc w:val="center"/>
              <w:rPr>
                <w:rFonts w:cs="Times New Roman"/>
                <w:color w:val="auto"/>
                <w:sz w:val="21"/>
                <w:szCs w:val="21"/>
              </w:rPr>
            </w:pPr>
            <w:r>
              <w:rPr>
                <w:rFonts w:ascii="宋体" w:hAnsi="宋体" w:cs="Times New Roman"/>
                <w:color w:val="auto"/>
                <w:sz w:val="21"/>
                <w:szCs w:val="21"/>
              </w:rPr>
              <w:t>《恶臭污染物排放标准》（</w:t>
            </w:r>
            <w:r>
              <w:rPr>
                <w:rFonts w:cs="Times New Roman"/>
                <w:color w:val="auto"/>
                <w:sz w:val="21"/>
                <w:szCs w:val="21"/>
              </w:rPr>
              <w:t>GB14554-93</w:t>
            </w:r>
            <w:r>
              <w:rPr>
                <w:rFonts w:ascii="宋体" w:hAnsi="宋体" w:cs="Times New Roman"/>
                <w:color w:val="auto"/>
                <w:sz w:val="21"/>
                <w:szCs w:val="21"/>
              </w:rPr>
              <w:t>）表</w:t>
            </w:r>
            <w:r>
              <w:rPr>
                <w:rFonts w:cs="Times New Roman"/>
                <w:color w:val="auto"/>
                <w:sz w:val="21"/>
                <w:szCs w:val="21"/>
              </w:rPr>
              <w:t>2</w:t>
            </w:r>
            <w:r>
              <w:rPr>
                <w:rFonts w:ascii="宋体" w:hAnsi="宋体" w:cs="Times New Roman"/>
                <w:color w:val="auto"/>
                <w:sz w:val="21"/>
                <w:szCs w:val="21"/>
              </w:rPr>
              <w:t>对应的标准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207"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93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ascii="宋体" w:hAnsi="宋体" w:cs="Times New Roman"/>
                <w:color w:val="auto"/>
                <w:sz w:val="21"/>
                <w:szCs w:val="21"/>
              </w:rPr>
              <w:t>颗粒物</w:t>
            </w:r>
          </w:p>
        </w:tc>
        <w:tc>
          <w:tcPr>
            <w:tcW w:w="136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30</w:t>
            </w:r>
          </w:p>
        </w:tc>
        <w:tc>
          <w:tcPr>
            <w:tcW w:w="114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hint="eastAsia" w:cs="Times New Roman"/>
                <w:color w:val="auto"/>
                <w:sz w:val="21"/>
                <w:szCs w:val="21"/>
              </w:rPr>
              <w:t>1.45</w:t>
            </w:r>
          </w:p>
        </w:tc>
        <w:tc>
          <w:tcPr>
            <w:tcW w:w="3873"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ascii="宋体" w:hAnsi="宋体" w:cs="Times New Roman"/>
                <w:color w:val="auto"/>
                <w:sz w:val="21"/>
                <w:szCs w:val="21"/>
              </w:rPr>
              <w:t>《关于印发〈工业炉窑大气污染综合治理方案〉的通知》（环大气〔</w:t>
            </w:r>
            <w:r>
              <w:rPr>
                <w:rFonts w:cs="Times New Roman"/>
                <w:color w:val="auto"/>
                <w:sz w:val="21"/>
                <w:szCs w:val="21"/>
              </w:rPr>
              <w:t>2019</w:t>
            </w:r>
            <w:r>
              <w:rPr>
                <w:rFonts w:ascii="宋体" w:hAnsi="宋体" w:cs="Times New Roman"/>
                <w:color w:val="auto"/>
                <w:sz w:val="21"/>
                <w:szCs w:val="21"/>
              </w:rPr>
              <w:t>〕</w:t>
            </w:r>
            <w:r>
              <w:rPr>
                <w:rFonts w:cs="Times New Roman"/>
                <w:color w:val="auto"/>
                <w:sz w:val="21"/>
                <w:szCs w:val="21"/>
              </w:rPr>
              <w:t>56</w:t>
            </w:r>
            <w:r>
              <w:rPr>
                <w:rFonts w:ascii="宋体" w:hAnsi="宋体" w:cs="Times New Roman"/>
                <w:color w:val="auto"/>
                <w:sz w:val="21"/>
                <w:szCs w:val="21"/>
              </w:rPr>
              <w:t>号）重点区域排放限值和广东省《大气污染物排放限值》（</w:t>
            </w:r>
            <w:r>
              <w:rPr>
                <w:rFonts w:cs="Times New Roman"/>
                <w:color w:val="auto"/>
                <w:sz w:val="21"/>
                <w:szCs w:val="21"/>
              </w:rPr>
              <w:t>DB44/27-2001</w:t>
            </w:r>
            <w:r>
              <w:rPr>
                <w:rFonts w:ascii="宋体" w:hAnsi="宋体" w:cs="Times New Roman"/>
                <w:color w:val="auto"/>
                <w:sz w:val="21"/>
                <w:szCs w:val="21"/>
              </w:rPr>
              <w:t>）第二时段二级标准（排放速率按</w:t>
            </w:r>
            <w:r>
              <w:rPr>
                <w:rFonts w:cs="Times New Roman"/>
                <w:color w:val="auto"/>
                <w:sz w:val="21"/>
                <w:szCs w:val="21"/>
              </w:rPr>
              <w:t>50%</w:t>
            </w:r>
            <w:r>
              <w:rPr>
                <w:rFonts w:ascii="宋体" w:hAnsi="宋体" w:cs="Times New Roman"/>
                <w:color w:val="auto"/>
                <w:sz w:val="21"/>
                <w:szCs w:val="21"/>
              </w:rPr>
              <w:t>执行）的较严值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207"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93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SO</w:t>
            </w:r>
            <w:r>
              <w:rPr>
                <w:rFonts w:cs="Times New Roman"/>
                <w:color w:val="auto"/>
                <w:sz w:val="21"/>
                <w:szCs w:val="21"/>
                <w:vertAlign w:val="subscript"/>
              </w:rPr>
              <w:t>2</w:t>
            </w:r>
          </w:p>
        </w:tc>
        <w:tc>
          <w:tcPr>
            <w:tcW w:w="136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200</w:t>
            </w:r>
          </w:p>
        </w:tc>
        <w:tc>
          <w:tcPr>
            <w:tcW w:w="114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w:t>
            </w:r>
          </w:p>
        </w:tc>
        <w:tc>
          <w:tcPr>
            <w:tcW w:w="3873" w:type="dxa"/>
            <w:vMerge w:val="restart"/>
            <w:tcBorders>
              <w:top w:val="nil"/>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ascii="宋体" w:hAnsi="宋体" w:cs="Times New Roman"/>
                <w:color w:val="auto"/>
                <w:sz w:val="21"/>
                <w:szCs w:val="21"/>
              </w:rPr>
              <w:t>《关于印发〈工业炉窑大气污染综合治理方案〉的通知》（环大气〔</w:t>
            </w:r>
            <w:r>
              <w:rPr>
                <w:rFonts w:cs="Times New Roman"/>
                <w:color w:val="auto"/>
                <w:sz w:val="21"/>
                <w:szCs w:val="21"/>
              </w:rPr>
              <w:t>2019</w:t>
            </w:r>
            <w:r>
              <w:rPr>
                <w:rFonts w:ascii="宋体" w:hAnsi="宋体" w:cs="Times New Roman"/>
                <w:color w:val="auto"/>
                <w:sz w:val="21"/>
                <w:szCs w:val="21"/>
              </w:rPr>
              <w:t>〕</w:t>
            </w:r>
            <w:r>
              <w:rPr>
                <w:rFonts w:cs="Times New Roman"/>
                <w:color w:val="auto"/>
                <w:sz w:val="21"/>
                <w:szCs w:val="21"/>
              </w:rPr>
              <w:t>56</w:t>
            </w:r>
            <w:r>
              <w:rPr>
                <w:rFonts w:ascii="宋体" w:hAnsi="宋体" w:cs="Times New Roman"/>
                <w:color w:val="auto"/>
                <w:sz w:val="21"/>
                <w:szCs w:val="21"/>
              </w:rPr>
              <w:t>号）重点区域排放限值要求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207"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93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NOx</w:t>
            </w:r>
          </w:p>
        </w:tc>
        <w:tc>
          <w:tcPr>
            <w:tcW w:w="136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300</w:t>
            </w:r>
          </w:p>
        </w:tc>
        <w:tc>
          <w:tcPr>
            <w:tcW w:w="114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w:t>
            </w:r>
          </w:p>
        </w:tc>
        <w:tc>
          <w:tcPr>
            <w:tcW w:w="3873"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207"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93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ascii="宋体" w:hAnsi="宋体" w:cs="Times New Roman"/>
                <w:color w:val="auto"/>
                <w:sz w:val="21"/>
                <w:szCs w:val="21"/>
              </w:rPr>
              <w:t>烟气黑度</w:t>
            </w:r>
          </w:p>
        </w:tc>
        <w:tc>
          <w:tcPr>
            <w:tcW w:w="136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1</w:t>
            </w:r>
            <w:r>
              <w:rPr>
                <w:rFonts w:ascii="宋体" w:hAnsi="宋体" w:cs="Times New Roman"/>
                <w:color w:val="auto"/>
                <w:sz w:val="21"/>
                <w:szCs w:val="21"/>
              </w:rPr>
              <w:t>（林格曼级）</w:t>
            </w:r>
          </w:p>
        </w:tc>
        <w:tc>
          <w:tcPr>
            <w:tcW w:w="114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w:t>
            </w:r>
          </w:p>
        </w:tc>
        <w:tc>
          <w:tcPr>
            <w:tcW w:w="3873"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ascii="宋体" w:hAnsi="宋体" w:cs="Times New Roman"/>
                <w:color w:val="auto"/>
                <w:sz w:val="21"/>
                <w:szCs w:val="21"/>
              </w:rPr>
              <w:t>《工业炉窑大气污染物排放标准》（</w:t>
            </w:r>
            <w:r>
              <w:rPr>
                <w:rFonts w:cs="Times New Roman"/>
                <w:color w:val="auto"/>
                <w:sz w:val="21"/>
                <w:szCs w:val="21"/>
              </w:rPr>
              <w:t>GB9078-1996</w:t>
            </w:r>
            <w:r>
              <w:rPr>
                <w:rFonts w:ascii="宋体" w:hAnsi="宋体" w:cs="Times New Roman"/>
                <w:color w:val="auto"/>
                <w:sz w:val="21"/>
                <w:szCs w:val="21"/>
              </w:rPr>
              <w:t>）表</w:t>
            </w:r>
            <w:r>
              <w:rPr>
                <w:rFonts w:cs="Times New Roman"/>
                <w:color w:val="auto"/>
                <w:sz w:val="21"/>
                <w:szCs w:val="21"/>
              </w:rPr>
              <w:t>2</w:t>
            </w:r>
            <w:r>
              <w:rPr>
                <w:rFonts w:ascii="宋体" w:hAnsi="宋体" w:cs="Times New Roman"/>
                <w:color w:val="auto"/>
                <w:sz w:val="21"/>
                <w:szCs w:val="21"/>
              </w:rPr>
              <w:t>二类区</w:t>
            </w:r>
            <w:r>
              <w:rPr>
                <w:rFonts w:hint="eastAsia" w:ascii="宋体" w:hAnsi="宋体" w:cs="Times New Roman"/>
                <w:color w:val="auto"/>
                <w:sz w:val="21"/>
                <w:szCs w:val="21"/>
              </w:rPr>
              <w:t>其他炉窑</w:t>
            </w:r>
            <w:r>
              <w:rPr>
                <w:rFonts w:ascii="宋体" w:hAnsi="宋体" w:cs="Times New Roman"/>
                <w:color w:val="auto"/>
                <w:sz w:val="21"/>
                <w:szCs w:val="21"/>
              </w:rPr>
              <w:t>排放限值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207" w:type="dxa"/>
            <w:vMerge w:val="restart"/>
            <w:tcBorders>
              <w:top w:val="nil"/>
              <w:left w:val="single" w:color="auto" w:sz="4" w:space="0"/>
              <w:bottom w:val="single" w:color="auto" w:sz="4" w:space="0"/>
              <w:right w:val="single" w:color="auto" w:sz="4" w:space="0"/>
            </w:tcBorders>
            <w:vAlign w:val="center"/>
          </w:tcPr>
          <w:p>
            <w:pPr>
              <w:tabs>
                <w:tab w:val="left" w:pos="8280"/>
              </w:tabs>
              <w:spacing w:line="240" w:lineRule="auto"/>
              <w:ind w:firstLine="0" w:firstLineChars="0"/>
              <w:jc w:val="center"/>
              <w:rPr>
                <w:rFonts w:cs="Times New Roman"/>
                <w:color w:val="auto"/>
                <w:sz w:val="21"/>
                <w:szCs w:val="21"/>
              </w:rPr>
            </w:pPr>
            <w:r>
              <w:rPr>
                <w:rFonts w:hint="eastAsia" w:ascii="宋体" w:hAnsi="宋体" w:cs="Times New Roman"/>
                <w:color w:val="auto"/>
                <w:sz w:val="21"/>
                <w:szCs w:val="21"/>
              </w:rPr>
              <w:t>厂界无组织废气</w:t>
            </w:r>
          </w:p>
        </w:tc>
        <w:tc>
          <w:tcPr>
            <w:tcW w:w="93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ascii="宋体" w:hAnsi="宋体" w:cs="Times New Roman"/>
                <w:color w:val="auto"/>
                <w:sz w:val="21"/>
                <w:szCs w:val="21"/>
              </w:rPr>
              <w:t>颗粒物</w:t>
            </w:r>
          </w:p>
        </w:tc>
        <w:tc>
          <w:tcPr>
            <w:tcW w:w="1365" w:type="dxa"/>
            <w:tcBorders>
              <w:top w:val="single" w:color="auto" w:sz="4" w:space="0"/>
              <w:left w:val="single" w:color="auto" w:sz="4" w:space="0"/>
              <w:bottom w:val="single" w:color="auto" w:sz="4" w:space="0"/>
              <w:right w:val="single" w:color="auto" w:sz="4" w:space="0"/>
            </w:tcBorders>
            <w:vAlign w:val="center"/>
          </w:tcPr>
          <w:p>
            <w:pPr>
              <w:tabs>
                <w:tab w:val="left" w:pos="8280"/>
              </w:tabs>
              <w:spacing w:line="240" w:lineRule="auto"/>
              <w:ind w:firstLine="0" w:firstLineChars="0"/>
              <w:jc w:val="center"/>
              <w:rPr>
                <w:rFonts w:hint="eastAsia" w:ascii="宋体" w:hAnsi="宋体" w:cs="Times New Roman"/>
                <w:color w:val="auto"/>
                <w:sz w:val="21"/>
                <w:szCs w:val="21"/>
              </w:rPr>
            </w:pPr>
            <w:r>
              <w:rPr>
                <w:rFonts w:hint="eastAsia" w:cs="Times New Roman"/>
                <w:color w:val="auto"/>
                <w:sz w:val="21"/>
                <w:szCs w:val="21"/>
              </w:rPr>
              <w:t>1.0</w:t>
            </w:r>
          </w:p>
        </w:tc>
        <w:tc>
          <w:tcPr>
            <w:tcW w:w="114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hint="eastAsia" w:ascii="宋体" w:hAnsi="宋体" w:cs="Times New Roman"/>
                <w:color w:val="auto"/>
                <w:sz w:val="21"/>
                <w:szCs w:val="21"/>
              </w:rPr>
            </w:pPr>
            <w:r>
              <w:rPr>
                <w:rFonts w:hint="eastAsia" w:cs="Times New Roman"/>
                <w:color w:val="auto"/>
                <w:sz w:val="21"/>
                <w:szCs w:val="21"/>
              </w:rPr>
              <w:t>/</w:t>
            </w:r>
          </w:p>
        </w:tc>
        <w:tc>
          <w:tcPr>
            <w:tcW w:w="3873" w:type="dxa"/>
            <w:vMerge w:val="restart"/>
            <w:tcBorders>
              <w:top w:val="nil"/>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ascii="宋体" w:hAnsi="宋体" w:cs="Times New Roman"/>
                <w:color w:val="auto"/>
                <w:sz w:val="21"/>
                <w:szCs w:val="21"/>
              </w:rPr>
              <w:t>广东省《大气污染物排放限值》（</w:t>
            </w:r>
            <w:r>
              <w:rPr>
                <w:rFonts w:cs="Times New Roman"/>
                <w:color w:val="auto"/>
                <w:sz w:val="21"/>
                <w:szCs w:val="21"/>
              </w:rPr>
              <w:t>DB44/27-2001</w:t>
            </w:r>
            <w:r>
              <w:rPr>
                <w:rFonts w:ascii="宋体" w:hAnsi="宋体" w:cs="Times New Roman"/>
                <w:color w:val="auto"/>
                <w:sz w:val="21"/>
                <w:szCs w:val="21"/>
              </w:rPr>
              <w:t>）第二时段无组织排放监控浓度限值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207"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93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hint="eastAsia" w:ascii="宋体" w:hAnsi="宋体" w:cs="Times New Roman"/>
                <w:color w:val="auto"/>
                <w:sz w:val="21"/>
                <w:szCs w:val="21"/>
              </w:rPr>
            </w:pPr>
            <w:r>
              <w:rPr>
                <w:rFonts w:hint="eastAsia" w:ascii="宋体" w:hAnsi="宋体" w:cs="Times New Roman"/>
                <w:color w:val="auto"/>
                <w:sz w:val="21"/>
                <w:szCs w:val="21"/>
              </w:rPr>
              <w:t>锰及其化合物</w:t>
            </w:r>
          </w:p>
        </w:tc>
        <w:tc>
          <w:tcPr>
            <w:tcW w:w="1365" w:type="dxa"/>
            <w:tcBorders>
              <w:top w:val="single" w:color="auto" w:sz="4" w:space="0"/>
              <w:left w:val="single" w:color="auto" w:sz="4" w:space="0"/>
              <w:bottom w:val="single" w:color="auto" w:sz="4" w:space="0"/>
              <w:right w:val="single" w:color="auto" w:sz="4" w:space="0"/>
            </w:tcBorders>
            <w:vAlign w:val="center"/>
          </w:tcPr>
          <w:p>
            <w:pPr>
              <w:tabs>
                <w:tab w:val="left" w:pos="8280"/>
              </w:tabs>
              <w:spacing w:line="240" w:lineRule="auto"/>
              <w:ind w:firstLine="0" w:firstLineChars="0"/>
              <w:jc w:val="center"/>
              <w:rPr>
                <w:rFonts w:cs="Times New Roman"/>
                <w:color w:val="auto"/>
                <w:sz w:val="21"/>
                <w:szCs w:val="21"/>
              </w:rPr>
            </w:pPr>
            <w:r>
              <w:rPr>
                <w:rFonts w:hint="eastAsia" w:cs="Times New Roman"/>
                <w:color w:val="auto"/>
                <w:sz w:val="21"/>
                <w:szCs w:val="21"/>
              </w:rPr>
              <w:t>0.040</w:t>
            </w:r>
          </w:p>
        </w:tc>
        <w:tc>
          <w:tcPr>
            <w:tcW w:w="114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hint="eastAsia" w:cs="Times New Roman"/>
                <w:color w:val="auto"/>
                <w:sz w:val="21"/>
                <w:szCs w:val="21"/>
              </w:rPr>
              <w:t>/</w:t>
            </w:r>
          </w:p>
        </w:tc>
        <w:tc>
          <w:tcPr>
            <w:tcW w:w="3873"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207"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93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hint="eastAsia" w:ascii="宋体" w:hAnsi="宋体" w:cs="Times New Roman"/>
                <w:color w:val="auto"/>
                <w:sz w:val="21"/>
                <w:szCs w:val="21"/>
              </w:rPr>
            </w:pPr>
            <w:r>
              <w:rPr>
                <w:rFonts w:hint="eastAsia" w:ascii="宋体" w:hAnsi="宋体" w:cs="Times New Roman"/>
                <w:color w:val="auto"/>
                <w:sz w:val="21"/>
                <w:szCs w:val="21"/>
              </w:rPr>
              <w:t>镍及其化合物</w:t>
            </w:r>
          </w:p>
        </w:tc>
        <w:tc>
          <w:tcPr>
            <w:tcW w:w="1365" w:type="dxa"/>
            <w:tcBorders>
              <w:top w:val="single" w:color="auto" w:sz="4" w:space="0"/>
              <w:left w:val="single" w:color="auto" w:sz="4" w:space="0"/>
              <w:bottom w:val="single" w:color="auto" w:sz="4" w:space="0"/>
              <w:right w:val="single" w:color="auto" w:sz="4" w:space="0"/>
            </w:tcBorders>
            <w:vAlign w:val="center"/>
          </w:tcPr>
          <w:p>
            <w:pPr>
              <w:tabs>
                <w:tab w:val="left" w:pos="8280"/>
              </w:tabs>
              <w:spacing w:line="240" w:lineRule="auto"/>
              <w:ind w:firstLine="0" w:firstLineChars="0"/>
              <w:jc w:val="center"/>
              <w:rPr>
                <w:rFonts w:cs="Times New Roman"/>
                <w:color w:val="auto"/>
                <w:sz w:val="21"/>
                <w:szCs w:val="21"/>
              </w:rPr>
            </w:pPr>
            <w:r>
              <w:rPr>
                <w:rFonts w:hint="eastAsia" w:cs="Times New Roman"/>
                <w:color w:val="auto"/>
                <w:sz w:val="21"/>
                <w:szCs w:val="21"/>
              </w:rPr>
              <w:t>0.040</w:t>
            </w:r>
          </w:p>
        </w:tc>
        <w:tc>
          <w:tcPr>
            <w:tcW w:w="114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hint="eastAsia" w:cs="Times New Roman"/>
                <w:color w:val="auto"/>
                <w:sz w:val="21"/>
                <w:szCs w:val="21"/>
              </w:rPr>
              <w:t>/</w:t>
            </w:r>
          </w:p>
        </w:tc>
        <w:tc>
          <w:tcPr>
            <w:tcW w:w="3873"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207"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93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hint="eastAsia" w:ascii="宋体" w:hAnsi="宋体" w:cs="Times New Roman"/>
                <w:color w:val="auto"/>
                <w:sz w:val="21"/>
                <w:szCs w:val="21"/>
              </w:rPr>
              <w:t>二氧化硫</w:t>
            </w:r>
          </w:p>
        </w:tc>
        <w:tc>
          <w:tcPr>
            <w:tcW w:w="1365" w:type="dxa"/>
            <w:tcBorders>
              <w:top w:val="single" w:color="auto" w:sz="4" w:space="0"/>
              <w:left w:val="single" w:color="auto" w:sz="4" w:space="0"/>
              <w:bottom w:val="single" w:color="auto" w:sz="4" w:space="0"/>
              <w:right w:val="single" w:color="auto" w:sz="4" w:space="0"/>
            </w:tcBorders>
            <w:vAlign w:val="center"/>
          </w:tcPr>
          <w:p>
            <w:pPr>
              <w:tabs>
                <w:tab w:val="left" w:pos="8280"/>
              </w:tabs>
              <w:spacing w:line="240" w:lineRule="auto"/>
              <w:ind w:firstLine="0" w:firstLineChars="0"/>
              <w:jc w:val="center"/>
              <w:rPr>
                <w:rFonts w:cs="Times New Roman"/>
                <w:color w:val="auto"/>
                <w:sz w:val="21"/>
                <w:szCs w:val="21"/>
              </w:rPr>
            </w:pPr>
            <w:r>
              <w:rPr>
                <w:rFonts w:hint="eastAsia" w:cs="Times New Roman"/>
                <w:color w:val="auto"/>
                <w:sz w:val="21"/>
                <w:szCs w:val="21"/>
              </w:rPr>
              <w:t>0.4</w:t>
            </w:r>
          </w:p>
        </w:tc>
        <w:tc>
          <w:tcPr>
            <w:tcW w:w="114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hint="eastAsia" w:cs="Times New Roman"/>
                <w:color w:val="auto"/>
                <w:sz w:val="21"/>
                <w:szCs w:val="21"/>
              </w:rPr>
              <w:t>/</w:t>
            </w:r>
          </w:p>
        </w:tc>
        <w:tc>
          <w:tcPr>
            <w:tcW w:w="3873"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207"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93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hint="eastAsia" w:ascii="宋体" w:hAnsi="宋体" w:cs="Times New Roman"/>
                <w:color w:val="auto"/>
                <w:sz w:val="21"/>
                <w:szCs w:val="21"/>
              </w:rPr>
              <w:t>氮氧化物</w:t>
            </w:r>
          </w:p>
        </w:tc>
        <w:tc>
          <w:tcPr>
            <w:tcW w:w="1365" w:type="dxa"/>
            <w:tcBorders>
              <w:top w:val="single" w:color="auto" w:sz="4" w:space="0"/>
              <w:left w:val="single" w:color="auto" w:sz="4" w:space="0"/>
              <w:bottom w:val="single" w:color="auto" w:sz="4" w:space="0"/>
              <w:right w:val="single" w:color="auto" w:sz="4" w:space="0"/>
            </w:tcBorders>
            <w:vAlign w:val="center"/>
          </w:tcPr>
          <w:p>
            <w:pPr>
              <w:tabs>
                <w:tab w:val="left" w:pos="8280"/>
              </w:tabs>
              <w:spacing w:line="240" w:lineRule="auto"/>
              <w:ind w:firstLine="0" w:firstLineChars="0"/>
              <w:jc w:val="center"/>
              <w:rPr>
                <w:rFonts w:cs="Times New Roman"/>
                <w:color w:val="auto"/>
                <w:sz w:val="21"/>
                <w:szCs w:val="21"/>
              </w:rPr>
            </w:pPr>
            <w:r>
              <w:rPr>
                <w:rFonts w:hint="eastAsia" w:cs="Times New Roman"/>
                <w:color w:val="auto"/>
                <w:sz w:val="21"/>
                <w:szCs w:val="21"/>
              </w:rPr>
              <w:t>0.12</w:t>
            </w:r>
          </w:p>
        </w:tc>
        <w:tc>
          <w:tcPr>
            <w:tcW w:w="114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hint="eastAsia" w:cs="Times New Roman"/>
                <w:color w:val="auto"/>
                <w:sz w:val="21"/>
                <w:szCs w:val="21"/>
              </w:rPr>
              <w:t>/</w:t>
            </w:r>
          </w:p>
        </w:tc>
        <w:tc>
          <w:tcPr>
            <w:tcW w:w="3873"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207"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93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ascii="宋体" w:hAnsi="宋体" w:cs="Times New Roman"/>
                <w:color w:val="auto"/>
                <w:sz w:val="21"/>
                <w:szCs w:val="21"/>
              </w:rPr>
              <w:t>臭气浓度</w:t>
            </w:r>
          </w:p>
        </w:tc>
        <w:tc>
          <w:tcPr>
            <w:tcW w:w="1365" w:type="dxa"/>
            <w:tcBorders>
              <w:top w:val="single" w:color="auto" w:sz="4" w:space="0"/>
              <w:left w:val="single" w:color="auto" w:sz="4" w:space="0"/>
              <w:bottom w:val="single" w:color="auto" w:sz="4" w:space="0"/>
              <w:right w:val="single" w:color="auto" w:sz="4" w:space="0"/>
            </w:tcBorders>
            <w:vAlign w:val="center"/>
          </w:tcPr>
          <w:p>
            <w:pPr>
              <w:tabs>
                <w:tab w:val="left" w:pos="8280"/>
              </w:tabs>
              <w:spacing w:line="240" w:lineRule="auto"/>
              <w:ind w:firstLine="0" w:firstLineChars="0"/>
              <w:jc w:val="center"/>
              <w:rPr>
                <w:rFonts w:cs="Times New Roman"/>
                <w:color w:val="auto"/>
                <w:sz w:val="21"/>
                <w:szCs w:val="21"/>
              </w:rPr>
            </w:pPr>
            <w:r>
              <w:rPr>
                <w:rFonts w:cs="Times New Roman"/>
                <w:color w:val="auto"/>
                <w:sz w:val="21"/>
                <w:szCs w:val="21"/>
              </w:rPr>
              <w:t>20</w:t>
            </w:r>
            <w:r>
              <w:rPr>
                <w:rFonts w:ascii="宋体" w:hAnsi="宋体" w:cs="Times New Roman"/>
                <w:color w:val="auto"/>
                <w:sz w:val="21"/>
                <w:szCs w:val="21"/>
              </w:rPr>
              <w:t>（无量纲）</w:t>
            </w:r>
          </w:p>
        </w:tc>
        <w:tc>
          <w:tcPr>
            <w:tcW w:w="114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hint="eastAsia" w:cs="Times New Roman"/>
                <w:color w:val="auto"/>
                <w:sz w:val="21"/>
                <w:szCs w:val="21"/>
              </w:rPr>
              <w:t>/</w:t>
            </w:r>
          </w:p>
        </w:tc>
        <w:tc>
          <w:tcPr>
            <w:tcW w:w="3873" w:type="dxa"/>
            <w:tcBorders>
              <w:top w:val="single" w:color="auto" w:sz="4" w:space="0"/>
              <w:left w:val="single" w:color="auto" w:sz="4" w:space="0"/>
              <w:bottom w:val="single" w:color="auto" w:sz="4" w:space="0"/>
              <w:right w:val="single" w:color="auto" w:sz="4" w:space="0"/>
            </w:tcBorders>
            <w:vAlign w:val="center"/>
          </w:tcPr>
          <w:p>
            <w:pPr>
              <w:tabs>
                <w:tab w:val="left" w:pos="8280"/>
              </w:tabs>
              <w:spacing w:line="240" w:lineRule="auto"/>
              <w:ind w:firstLine="0" w:firstLineChars="0"/>
              <w:jc w:val="center"/>
              <w:rPr>
                <w:rFonts w:cs="Times New Roman"/>
                <w:color w:val="auto"/>
                <w:sz w:val="21"/>
                <w:szCs w:val="21"/>
              </w:rPr>
            </w:pPr>
            <w:r>
              <w:rPr>
                <w:rFonts w:ascii="宋体" w:hAnsi="宋体" w:cs="Times New Roman"/>
                <w:color w:val="auto"/>
                <w:sz w:val="21"/>
                <w:szCs w:val="21"/>
              </w:rPr>
              <w:t>《恶臭污染物排放标准》（</w:t>
            </w:r>
            <w:r>
              <w:rPr>
                <w:rFonts w:cs="Times New Roman"/>
                <w:color w:val="auto"/>
                <w:sz w:val="21"/>
                <w:szCs w:val="21"/>
              </w:rPr>
              <w:t>GB14554-93</w:t>
            </w:r>
            <w:r>
              <w:rPr>
                <w:rFonts w:ascii="宋体" w:hAnsi="宋体" w:cs="Times New Roman"/>
                <w:color w:val="auto"/>
                <w:sz w:val="21"/>
                <w:szCs w:val="21"/>
              </w:rPr>
              <w:t>）表</w:t>
            </w:r>
            <w:r>
              <w:rPr>
                <w:rFonts w:cs="Times New Roman"/>
                <w:color w:val="auto"/>
                <w:sz w:val="21"/>
                <w:szCs w:val="21"/>
              </w:rPr>
              <w:t>1</w:t>
            </w:r>
            <w:r>
              <w:rPr>
                <w:rFonts w:ascii="宋体" w:hAnsi="宋体" w:cs="Times New Roman"/>
                <w:color w:val="auto"/>
                <w:sz w:val="21"/>
                <w:szCs w:val="21"/>
              </w:rPr>
              <w:t>厂界标准值中新扩改建项目二级标准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207" w:type="dxa"/>
            <w:tcBorders>
              <w:top w:val="single" w:color="auto" w:sz="4" w:space="0"/>
              <w:left w:val="single" w:color="auto" w:sz="4" w:space="0"/>
              <w:bottom w:val="single" w:color="auto" w:sz="4" w:space="0"/>
              <w:right w:val="single" w:color="auto" w:sz="4" w:space="0"/>
            </w:tcBorders>
            <w:vAlign w:val="center"/>
          </w:tcPr>
          <w:p>
            <w:pPr>
              <w:tabs>
                <w:tab w:val="left" w:pos="8280"/>
              </w:tabs>
              <w:spacing w:line="240" w:lineRule="auto"/>
              <w:ind w:firstLine="0" w:firstLineChars="0"/>
              <w:jc w:val="center"/>
              <w:rPr>
                <w:rFonts w:hint="eastAsia" w:ascii="宋体" w:hAnsi="宋体" w:cs="Times New Roman"/>
                <w:color w:val="auto"/>
                <w:sz w:val="21"/>
                <w:szCs w:val="21"/>
              </w:rPr>
            </w:pPr>
            <w:r>
              <w:rPr>
                <w:rFonts w:ascii="宋体" w:hAnsi="宋体" w:cs="Times New Roman"/>
                <w:color w:val="auto"/>
                <w:sz w:val="21"/>
                <w:szCs w:val="21"/>
              </w:rPr>
              <w:t>厂区内</w:t>
            </w:r>
          </w:p>
        </w:tc>
        <w:tc>
          <w:tcPr>
            <w:tcW w:w="931" w:type="dxa"/>
            <w:tcBorders>
              <w:top w:val="single" w:color="auto" w:sz="4" w:space="0"/>
              <w:left w:val="single" w:color="auto" w:sz="4" w:space="0"/>
              <w:bottom w:val="single" w:color="auto" w:sz="4" w:space="0"/>
              <w:right w:val="single" w:color="auto" w:sz="4" w:space="0"/>
            </w:tcBorders>
            <w:vAlign w:val="center"/>
          </w:tcPr>
          <w:p>
            <w:pPr>
              <w:tabs>
                <w:tab w:val="left" w:pos="8280"/>
              </w:tabs>
              <w:spacing w:line="240" w:lineRule="auto"/>
              <w:ind w:firstLine="0" w:firstLineChars="0"/>
              <w:jc w:val="center"/>
              <w:rPr>
                <w:rFonts w:cs="Times New Roman"/>
                <w:color w:val="auto"/>
                <w:sz w:val="21"/>
                <w:szCs w:val="21"/>
              </w:rPr>
            </w:pPr>
            <w:r>
              <w:rPr>
                <w:rFonts w:cs="Times New Roman"/>
                <w:color w:val="auto"/>
                <w:sz w:val="21"/>
                <w:szCs w:val="21"/>
              </w:rPr>
              <w:t>NMHC</w:t>
            </w:r>
          </w:p>
        </w:tc>
        <w:tc>
          <w:tcPr>
            <w:tcW w:w="1365" w:type="dxa"/>
            <w:tcBorders>
              <w:top w:val="single" w:color="auto" w:sz="4" w:space="0"/>
              <w:left w:val="single" w:color="auto" w:sz="4" w:space="0"/>
              <w:bottom w:val="single" w:color="auto" w:sz="4" w:space="0"/>
              <w:right w:val="single" w:color="auto" w:sz="4" w:space="0"/>
            </w:tcBorders>
            <w:vAlign w:val="center"/>
          </w:tcPr>
          <w:p>
            <w:pPr>
              <w:tabs>
                <w:tab w:val="right" w:pos="0"/>
              </w:tabs>
              <w:autoSpaceDE w:val="0"/>
              <w:autoSpaceDN w:val="0"/>
              <w:adjustRightInd w:val="0"/>
              <w:snapToGrid w:val="0"/>
              <w:spacing w:line="240" w:lineRule="auto"/>
              <w:ind w:firstLine="0" w:firstLineChars="0"/>
              <w:jc w:val="center"/>
              <w:rPr>
                <w:rFonts w:cs="Times New Roman"/>
                <w:color w:val="auto"/>
                <w:sz w:val="21"/>
                <w:szCs w:val="21"/>
              </w:rPr>
            </w:pPr>
            <w:r>
              <w:rPr>
                <w:rFonts w:hint="eastAsia" w:cs="Times New Roman"/>
                <w:color w:val="auto"/>
                <w:sz w:val="21"/>
                <w:szCs w:val="21"/>
              </w:rPr>
              <w:t>1h</w:t>
            </w:r>
            <w:r>
              <w:rPr>
                <w:rFonts w:hint="eastAsia" w:ascii="宋体" w:hAnsi="宋体" w:cs="Times New Roman"/>
                <w:color w:val="auto"/>
                <w:sz w:val="21"/>
                <w:szCs w:val="21"/>
              </w:rPr>
              <w:t>平均浓度值，</w:t>
            </w:r>
            <w:r>
              <w:rPr>
                <w:rFonts w:hint="eastAsia" w:cs="Times New Roman"/>
                <w:color w:val="auto"/>
                <w:sz w:val="21"/>
                <w:szCs w:val="21"/>
              </w:rPr>
              <w:t>6mg/m</w:t>
            </w:r>
            <w:r>
              <w:rPr>
                <w:rFonts w:hint="eastAsia" w:cs="Times New Roman"/>
                <w:color w:val="auto"/>
                <w:sz w:val="21"/>
                <w:szCs w:val="21"/>
                <w:vertAlign w:val="superscript"/>
              </w:rPr>
              <w:t>3</w:t>
            </w:r>
          </w:p>
          <w:p>
            <w:pPr>
              <w:tabs>
                <w:tab w:val="left" w:pos="8280"/>
              </w:tabs>
              <w:spacing w:line="240" w:lineRule="auto"/>
              <w:ind w:firstLine="0" w:firstLineChars="0"/>
              <w:jc w:val="center"/>
              <w:rPr>
                <w:rFonts w:cs="Times New Roman"/>
                <w:color w:val="auto"/>
                <w:sz w:val="21"/>
                <w:szCs w:val="21"/>
              </w:rPr>
            </w:pPr>
            <w:r>
              <w:rPr>
                <w:rFonts w:hint="eastAsia" w:ascii="宋体" w:hAnsi="宋体" w:cs="Times New Roman"/>
                <w:color w:val="auto"/>
                <w:sz w:val="21"/>
                <w:szCs w:val="21"/>
              </w:rPr>
              <w:t>任意值：</w:t>
            </w:r>
            <w:r>
              <w:rPr>
                <w:rFonts w:hint="eastAsia" w:cs="Times New Roman"/>
                <w:color w:val="auto"/>
                <w:sz w:val="21"/>
                <w:szCs w:val="21"/>
              </w:rPr>
              <w:t>20mg/m</w:t>
            </w:r>
            <w:r>
              <w:rPr>
                <w:rFonts w:hint="eastAsia" w:cs="Times New Roman"/>
                <w:color w:val="auto"/>
                <w:sz w:val="21"/>
                <w:szCs w:val="21"/>
                <w:vertAlign w:val="superscript"/>
              </w:rPr>
              <w:t>3</w:t>
            </w:r>
          </w:p>
        </w:tc>
        <w:tc>
          <w:tcPr>
            <w:tcW w:w="1146" w:type="dxa"/>
            <w:tcBorders>
              <w:top w:val="single" w:color="auto" w:sz="4" w:space="0"/>
              <w:left w:val="single" w:color="auto" w:sz="4" w:space="0"/>
              <w:bottom w:val="single" w:color="auto" w:sz="4" w:space="0"/>
              <w:right w:val="single" w:color="auto" w:sz="4" w:space="0"/>
            </w:tcBorders>
            <w:vAlign w:val="center"/>
          </w:tcPr>
          <w:p>
            <w:pPr>
              <w:tabs>
                <w:tab w:val="left" w:pos="8280"/>
              </w:tabs>
              <w:spacing w:line="240" w:lineRule="auto"/>
              <w:ind w:firstLine="0" w:firstLineChars="0"/>
              <w:jc w:val="center"/>
              <w:rPr>
                <w:rFonts w:hint="eastAsia" w:ascii="宋体" w:hAnsi="宋体" w:cs="Times New Roman"/>
                <w:color w:val="auto"/>
                <w:sz w:val="21"/>
                <w:szCs w:val="21"/>
              </w:rPr>
            </w:pPr>
            <w:r>
              <w:rPr>
                <w:rFonts w:cs="Times New Roman"/>
                <w:color w:val="auto"/>
                <w:sz w:val="21"/>
                <w:szCs w:val="21"/>
              </w:rPr>
              <w:t>/</w:t>
            </w:r>
          </w:p>
        </w:tc>
        <w:tc>
          <w:tcPr>
            <w:tcW w:w="3873" w:type="dxa"/>
            <w:tcBorders>
              <w:top w:val="single" w:color="auto" w:sz="4" w:space="0"/>
              <w:left w:val="single" w:color="auto" w:sz="4" w:space="0"/>
              <w:bottom w:val="single" w:color="auto" w:sz="4" w:space="0"/>
              <w:right w:val="single" w:color="auto" w:sz="4" w:space="0"/>
            </w:tcBorders>
            <w:vAlign w:val="center"/>
          </w:tcPr>
          <w:p>
            <w:pPr>
              <w:tabs>
                <w:tab w:val="left" w:pos="8280"/>
              </w:tabs>
              <w:spacing w:line="240" w:lineRule="auto"/>
              <w:ind w:firstLine="0" w:firstLineChars="0"/>
              <w:jc w:val="center"/>
              <w:rPr>
                <w:rFonts w:cs="Times New Roman"/>
                <w:color w:val="auto"/>
                <w:sz w:val="21"/>
                <w:szCs w:val="21"/>
              </w:rPr>
            </w:pPr>
            <w:r>
              <w:rPr>
                <w:rFonts w:ascii="宋体" w:hAnsi="宋体" w:cs="Times New Roman"/>
                <w:color w:val="auto"/>
                <w:sz w:val="21"/>
                <w:szCs w:val="21"/>
              </w:rPr>
              <w:t>广东省《固定污染源挥发性有机物综合排放标准》</w:t>
            </w:r>
            <w:r>
              <w:rPr>
                <w:rFonts w:cs="Times New Roman"/>
                <w:color w:val="auto"/>
                <w:sz w:val="21"/>
                <w:szCs w:val="21"/>
              </w:rPr>
              <w:t>(DB44/2367-2022)</w:t>
            </w:r>
            <w:r>
              <w:rPr>
                <w:rFonts w:ascii="宋体" w:hAnsi="宋体" w:cs="Times New Roman"/>
                <w:color w:val="auto"/>
                <w:sz w:val="21"/>
                <w:szCs w:val="21"/>
              </w:rPr>
              <w:t>表</w:t>
            </w:r>
            <w:r>
              <w:rPr>
                <w:rFonts w:cs="Times New Roman"/>
                <w:color w:val="auto"/>
                <w:sz w:val="21"/>
                <w:szCs w:val="21"/>
              </w:rPr>
              <w:t>3</w:t>
            </w:r>
            <w:r>
              <w:rPr>
                <w:rFonts w:ascii="宋体" w:hAnsi="宋体" w:cs="Times New Roman"/>
                <w:color w:val="auto"/>
                <w:sz w:val="21"/>
                <w:szCs w:val="21"/>
              </w:rPr>
              <w:t>厂区内</w:t>
            </w:r>
            <w:r>
              <w:rPr>
                <w:rFonts w:cs="Times New Roman"/>
                <w:color w:val="auto"/>
                <w:sz w:val="21"/>
                <w:szCs w:val="21"/>
              </w:rPr>
              <w:t>VOCs</w:t>
            </w:r>
            <w:r>
              <w:rPr>
                <w:rFonts w:ascii="宋体" w:hAnsi="宋体" w:cs="Times New Roman"/>
                <w:color w:val="auto"/>
                <w:sz w:val="21"/>
                <w:szCs w:val="21"/>
              </w:rPr>
              <w:t>无组织排放限值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1207" w:type="dxa"/>
            <w:tcBorders>
              <w:top w:val="single" w:color="auto" w:sz="4" w:space="0"/>
              <w:left w:val="single" w:color="auto" w:sz="4" w:space="0"/>
              <w:bottom w:val="single" w:color="auto" w:sz="4" w:space="0"/>
              <w:right w:val="single" w:color="auto" w:sz="4" w:space="0"/>
            </w:tcBorders>
            <w:vAlign w:val="center"/>
          </w:tcPr>
          <w:p>
            <w:pPr>
              <w:tabs>
                <w:tab w:val="left" w:pos="8280"/>
              </w:tabs>
              <w:spacing w:line="240" w:lineRule="auto"/>
              <w:ind w:firstLine="0" w:firstLineChars="0"/>
              <w:jc w:val="center"/>
              <w:rPr>
                <w:rFonts w:cs="Times New Roman"/>
                <w:color w:val="auto"/>
                <w:sz w:val="21"/>
                <w:szCs w:val="21"/>
              </w:rPr>
            </w:pPr>
            <w:r>
              <w:rPr>
                <w:rFonts w:hint="eastAsia" w:ascii="宋体" w:hAnsi="宋体" w:cs="Times New Roman"/>
                <w:color w:val="auto"/>
                <w:sz w:val="21"/>
                <w:szCs w:val="21"/>
              </w:rPr>
              <w:t>厨房</w:t>
            </w:r>
          </w:p>
        </w:tc>
        <w:tc>
          <w:tcPr>
            <w:tcW w:w="93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hint="eastAsia" w:ascii="宋体" w:hAnsi="宋体" w:cs="Times New Roman"/>
                <w:color w:val="auto"/>
                <w:sz w:val="21"/>
                <w:szCs w:val="21"/>
              </w:rPr>
              <w:t>油烟</w:t>
            </w:r>
          </w:p>
        </w:tc>
        <w:tc>
          <w:tcPr>
            <w:tcW w:w="1365" w:type="dxa"/>
            <w:tcBorders>
              <w:top w:val="single" w:color="auto" w:sz="4" w:space="0"/>
              <w:left w:val="single" w:color="auto" w:sz="4" w:space="0"/>
              <w:bottom w:val="single" w:color="auto" w:sz="4" w:space="0"/>
              <w:right w:val="single" w:color="auto" w:sz="4" w:space="0"/>
            </w:tcBorders>
            <w:vAlign w:val="center"/>
          </w:tcPr>
          <w:p>
            <w:pPr>
              <w:tabs>
                <w:tab w:val="left" w:pos="8280"/>
              </w:tabs>
              <w:spacing w:line="240" w:lineRule="auto"/>
              <w:ind w:firstLine="0" w:firstLineChars="0"/>
              <w:jc w:val="center"/>
              <w:rPr>
                <w:rFonts w:cs="Times New Roman"/>
                <w:color w:val="auto"/>
                <w:sz w:val="21"/>
                <w:szCs w:val="21"/>
              </w:rPr>
            </w:pPr>
            <w:r>
              <w:rPr>
                <w:rFonts w:hint="eastAsia" w:cs="Times New Roman"/>
                <w:color w:val="auto"/>
                <w:sz w:val="21"/>
                <w:szCs w:val="21"/>
              </w:rPr>
              <w:t>2.0</w:t>
            </w:r>
          </w:p>
        </w:tc>
        <w:tc>
          <w:tcPr>
            <w:tcW w:w="114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hint="eastAsia" w:cs="Times New Roman"/>
                <w:color w:val="auto"/>
                <w:sz w:val="21"/>
                <w:szCs w:val="21"/>
              </w:rPr>
              <w:t>/</w:t>
            </w:r>
          </w:p>
        </w:tc>
        <w:tc>
          <w:tcPr>
            <w:tcW w:w="3873" w:type="dxa"/>
            <w:tcBorders>
              <w:top w:val="single" w:color="auto" w:sz="4" w:space="0"/>
              <w:left w:val="single" w:color="auto" w:sz="4" w:space="0"/>
              <w:bottom w:val="single" w:color="auto" w:sz="4" w:space="0"/>
              <w:right w:val="single" w:color="auto" w:sz="4" w:space="0"/>
            </w:tcBorders>
            <w:vAlign w:val="center"/>
          </w:tcPr>
          <w:p>
            <w:pPr>
              <w:tabs>
                <w:tab w:val="left" w:pos="8280"/>
              </w:tabs>
              <w:spacing w:line="240" w:lineRule="auto"/>
              <w:ind w:firstLine="0" w:firstLineChars="0"/>
              <w:jc w:val="center"/>
              <w:rPr>
                <w:rFonts w:cs="Times New Roman"/>
                <w:color w:val="auto"/>
                <w:sz w:val="21"/>
                <w:szCs w:val="21"/>
              </w:rPr>
            </w:pPr>
            <w:r>
              <w:rPr>
                <w:rFonts w:hint="eastAsia" w:ascii="宋体" w:hAnsi="宋体" w:cs="Times New Roman"/>
                <w:color w:val="auto"/>
                <w:sz w:val="21"/>
                <w:szCs w:val="21"/>
              </w:rPr>
              <w:t>《饮食业油烟排放标准（试行）》（</w:t>
            </w:r>
            <w:r>
              <w:rPr>
                <w:rFonts w:hint="eastAsia" w:cs="Times New Roman"/>
                <w:color w:val="auto"/>
                <w:sz w:val="21"/>
                <w:szCs w:val="21"/>
              </w:rPr>
              <w:t>GB18483-2001</w:t>
            </w:r>
            <w:r>
              <w:rPr>
                <w:rFonts w:hint="eastAsia" w:ascii="宋体" w:hAnsi="宋体" w:cs="Times New Roman"/>
                <w:color w:val="auto"/>
                <w:sz w:val="21"/>
                <w:szCs w:val="21"/>
              </w:rPr>
              <w:t>）的小型标准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84" w:hRule="atLeast"/>
          <w:jc w:val="center"/>
        </w:trPr>
        <w:tc>
          <w:tcPr>
            <w:tcW w:w="8522" w:type="dxa"/>
            <w:gridSpan w:val="5"/>
            <w:tcBorders>
              <w:top w:val="single" w:color="auto" w:sz="4" w:space="0"/>
              <w:left w:val="single" w:color="auto" w:sz="4" w:space="0"/>
              <w:bottom w:val="single" w:color="auto" w:sz="4" w:space="0"/>
              <w:right w:val="single" w:color="auto" w:sz="4" w:space="0"/>
            </w:tcBorders>
            <w:vAlign w:val="center"/>
          </w:tcPr>
          <w:p>
            <w:pPr>
              <w:tabs>
                <w:tab w:val="left" w:pos="8280"/>
              </w:tabs>
              <w:spacing w:line="240" w:lineRule="auto"/>
              <w:ind w:firstLine="0" w:firstLineChars="0"/>
              <w:jc w:val="left"/>
              <w:rPr>
                <w:rFonts w:cs="Times New Roman"/>
                <w:color w:val="auto"/>
                <w:sz w:val="21"/>
                <w:szCs w:val="21"/>
              </w:rPr>
            </w:pPr>
            <w:r>
              <w:rPr>
                <w:rFonts w:ascii="宋体" w:hAnsi="宋体" w:cs="Times New Roman"/>
                <w:color w:val="auto"/>
                <w:sz w:val="21"/>
                <w:szCs w:val="21"/>
              </w:rPr>
              <w:t>备注：根据（</w:t>
            </w:r>
            <w:r>
              <w:rPr>
                <w:rFonts w:cs="Times New Roman"/>
                <w:color w:val="auto"/>
                <w:sz w:val="21"/>
                <w:szCs w:val="21"/>
              </w:rPr>
              <w:t>DB44/27-2001</w:t>
            </w:r>
            <w:r>
              <w:rPr>
                <w:rFonts w:ascii="宋体" w:hAnsi="宋体" w:cs="Times New Roman"/>
                <w:color w:val="auto"/>
                <w:sz w:val="21"/>
                <w:szCs w:val="21"/>
              </w:rPr>
              <w:t>），</w:t>
            </w:r>
            <w:r>
              <w:rPr>
                <w:rFonts w:ascii="Cambria Math" w:hAnsi="Cambria Math" w:cs="Cambria Math"/>
                <w:color w:val="auto"/>
                <w:sz w:val="21"/>
                <w:szCs w:val="21"/>
              </w:rPr>
              <w:t>①</w:t>
            </w:r>
            <w:r>
              <w:rPr>
                <w:rFonts w:ascii="宋体" w:hAnsi="宋体" w:cs="Times New Roman"/>
                <w:color w:val="auto"/>
                <w:sz w:val="21"/>
                <w:szCs w:val="21"/>
              </w:rPr>
              <w:t>排气筒高度不应低于</w:t>
            </w:r>
            <w:r>
              <w:rPr>
                <w:rFonts w:cs="Times New Roman"/>
                <w:color w:val="auto"/>
                <w:sz w:val="21"/>
                <w:szCs w:val="21"/>
              </w:rPr>
              <w:t>15m</w:t>
            </w:r>
            <w:r>
              <w:rPr>
                <w:rFonts w:ascii="宋体" w:hAnsi="宋体" w:cs="Times New Roman"/>
                <w:color w:val="auto"/>
                <w:sz w:val="21"/>
                <w:szCs w:val="21"/>
              </w:rPr>
              <w:t>。排气筒高度必须低于</w:t>
            </w:r>
            <w:r>
              <w:rPr>
                <w:rFonts w:cs="Times New Roman"/>
                <w:color w:val="auto"/>
                <w:sz w:val="21"/>
                <w:szCs w:val="21"/>
              </w:rPr>
              <w:t>15m</w:t>
            </w:r>
            <w:r>
              <w:rPr>
                <w:rFonts w:ascii="宋体" w:hAnsi="宋体" w:cs="Times New Roman"/>
                <w:color w:val="auto"/>
                <w:sz w:val="21"/>
                <w:szCs w:val="21"/>
              </w:rPr>
              <w:t>时，其排放速率标准值按表所列排放限值的外推法计算结果的</w:t>
            </w:r>
            <w:r>
              <w:rPr>
                <w:rFonts w:cs="Times New Roman"/>
                <w:color w:val="auto"/>
                <w:sz w:val="21"/>
                <w:szCs w:val="21"/>
              </w:rPr>
              <w:t>50%</w:t>
            </w:r>
            <w:r>
              <w:rPr>
                <w:rFonts w:ascii="宋体" w:hAnsi="宋体" w:cs="Times New Roman"/>
                <w:color w:val="auto"/>
                <w:sz w:val="21"/>
                <w:szCs w:val="21"/>
              </w:rPr>
              <w:t>执行；</w:t>
            </w:r>
            <w:r>
              <w:rPr>
                <w:rFonts w:ascii="Cambria Math" w:hAnsi="Cambria Math" w:cs="Cambria Math"/>
                <w:color w:val="auto"/>
                <w:sz w:val="21"/>
                <w:szCs w:val="21"/>
              </w:rPr>
              <w:t>②</w:t>
            </w:r>
            <w:r>
              <w:rPr>
                <w:rFonts w:ascii="宋体" w:hAnsi="宋体" w:cs="Times New Roman"/>
                <w:color w:val="auto"/>
                <w:sz w:val="21"/>
                <w:szCs w:val="21"/>
              </w:rPr>
              <w:t>排气筒高度除应遵守</w:t>
            </w:r>
            <w:r>
              <w:rPr>
                <w:rFonts w:ascii="Cambria Math" w:hAnsi="Cambria Math" w:cs="Cambria Math"/>
                <w:color w:val="auto"/>
                <w:sz w:val="21"/>
                <w:szCs w:val="21"/>
              </w:rPr>
              <w:t>①</w:t>
            </w:r>
            <w:r>
              <w:rPr>
                <w:rFonts w:ascii="宋体" w:hAnsi="宋体" w:cs="Times New Roman"/>
                <w:color w:val="auto"/>
                <w:sz w:val="21"/>
                <w:szCs w:val="21"/>
              </w:rPr>
              <w:t>的要求外还应高出周围的</w:t>
            </w:r>
            <w:r>
              <w:rPr>
                <w:rFonts w:cs="Times New Roman"/>
                <w:color w:val="auto"/>
                <w:sz w:val="21"/>
                <w:szCs w:val="21"/>
              </w:rPr>
              <w:t>200m</w:t>
            </w:r>
            <w:r>
              <w:rPr>
                <w:rFonts w:ascii="宋体" w:hAnsi="宋体" w:cs="Times New Roman"/>
                <w:color w:val="auto"/>
                <w:sz w:val="21"/>
                <w:szCs w:val="21"/>
              </w:rPr>
              <w:t>半径范围的建筑</w:t>
            </w:r>
            <w:r>
              <w:rPr>
                <w:rFonts w:cs="Times New Roman"/>
                <w:color w:val="auto"/>
                <w:sz w:val="21"/>
                <w:szCs w:val="21"/>
              </w:rPr>
              <w:t>5m</w:t>
            </w:r>
            <w:r>
              <w:rPr>
                <w:rFonts w:ascii="宋体" w:hAnsi="宋体" w:cs="Times New Roman"/>
                <w:color w:val="auto"/>
                <w:sz w:val="21"/>
                <w:szCs w:val="21"/>
              </w:rPr>
              <w:t>以上；不能达到该要求的排气筒，最高允许排放速率应按表所列排放限值的</w:t>
            </w:r>
            <w:r>
              <w:rPr>
                <w:rFonts w:cs="Times New Roman"/>
                <w:color w:val="auto"/>
                <w:sz w:val="21"/>
                <w:szCs w:val="21"/>
              </w:rPr>
              <w:t>50%</w:t>
            </w:r>
            <w:r>
              <w:rPr>
                <w:rFonts w:ascii="宋体" w:hAnsi="宋体" w:cs="Times New Roman"/>
                <w:color w:val="auto"/>
                <w:sz w:val="21"/>
                <w:szCs w:val="21"/>
              </w:rPr>
              <w:t>执行。因本项目排气筒为</w:t>
            </w:r>
            <w:r>
              <w:rPr>
                <w:rFonts w:cs="Times New Roman"/>
                <w:color w:val="auto"/>
                <w:sz w:val="21"/>
                <w:szCs w:val="21"/>
              </w:rPr>
              <w:t>15m</w:t>
            </w:r>
            <w:r>
              <w:rPr>
                <w:rFonts w:ascii="宋体" w:hAnsi="宋体" w:cs="Times New Roman"/>
                <w:color w:val="auto"/>
                <w:sz w:val="21"/>
                <w:szCs w:val="21"/>
              </w:rPr>
              <w:t>，周边</w:t>
            </w:r>
            <w:r>
              <w:rPr>
                <w:rFonts w:cs="Times New Roman"/>
                <w:color w:val="auto"/>
                <w:sz w:val="21"/>
                <w:szCs w:val="21"/>
              </w:rPr>
              <w:t>200m</w:t>
            </w:r>
            <w:r>
              <w:rPr>
                <w:rFonts w:ascii="宋体" w:hAnsi="宋体" w:cs="Times New Roman"/>
                <w:color w:val="auto"/>
                <w:sz w:val="21"/>
                <w:szCs w:val="21"/>
              </w:rPr>
              <w:t>半径范围最高建筑</w:t>
            </w:r>
            <w:r>
              <w:rPr>
                <w:rFonts w:hint="eastAsia" w:ascii="宋体" w:hAnsi="宋体" w:cs="Times New Roman"/>
                <w:color w:val="auto"/>
                <w:sz w:val="21"/>
                <w:szCs w:val="21"/>
              </w:rPr>
              <w:t>已超出</w:t>
            </w:r>
            <w:r>
              <w:rPr>
                <w:rFonts w:hint="eastAsia" w:cs="Times New Roman"/>
                <w:color w:val="auto"/>
                <w:sz w:val="21"/>
                <w:szCs w:val="21"/>
              </w:rPr>
              <w:t>15</w:t>
            </w:r>
            <w:r>
              <w:rPr>
                <w:rFonts w:cs="Times New Roman"/>
                <w:color w:val="auto"/>
                <w:sz w:val="21"/>
                <w:szCs w:val="21"/>
              </w:rPr>
              <w:t>m</w:t>
            </w:r>
            <w:r>
              <w:rPr>
                <w:rFonts w:ascii="宋体" w:hAnsi="宋体" w:cs="Times New Roman"/>
                <w:color w:val="auto"/>
                <w:sz w:val="21"/>
                <w:szCs w:val="21"/>
              </w:rPr>
              <w:t>，</w:t>
            </w:r>
            <w:r>
              <w:rPr>
                <w:rFonts w:hint="eastAsia" w:ascii="宋体" w:hAnsi="宋体" w:cs="Times New Roman"/>
                <w:color w:val="auto"/>
                <w:sz w:val="21"/>
                <w:szCs w:val="21"/>
              </w:rPr>
              <w:t>因此颗粒物排放速率按其标准的</w:t>
            </w:r>
            <w:r>
              <w:rPr>
                <w:rFonts w:hint="eastAsia" w:cs="Times New Roman"/>
                <w:color w:val="auto"/>
                <w:sz w:val="21"/>
                <w:szCs w:val="21"/>
              </w:rPr>
              <w:t>50%</w:t>
            </w:r>
            <w:r>
              <w:rPr>
                <w:rFonts w:hint="eastAsia" w:ascii="宋体" w:hAnsi="宋体" w:cs="Times New Roman"/>
                <w:color w:val="auto"/>
                <w:sz w:val="21"/>
                <w:szCs w:val="21"/>
              </w:rPr>
              <w:t>（</w:t>
            </w:r>
            <w:r>
              <w:rPr>
                <w:rFonts w:hint="eastAsia" w:cs="Times New Roman"/>
                <w:color w:val="auto"/>
                <w:sz w:val="21"/>
                <w:szCs w:val="21"/>
              </w:rPr>
              <w:t>1.45kg/h</w:t>
            </w:r>
            <w:r>
              <w:rPr>
                <w:rFonts w:hint="eastAsia" w:ascii="宋体" w:hAnsi="宋体" w:cs="Times New Roman"/>
                <w:color w:val="auto"/>
                <w:sz w:val="21"/>
                <w:szCs w:val="21"/>
              </w:rPr>
              <w:t>）执行</w:t>
            </w:r>
            <w:r>
              <w:rPr>
                <w:rFonts w:ascii="宋体" w:hAnsi="宋体" w:cs="Times New Roman"/>
                <w:color w:val="auto"/>
                <w:sz w:val="21"/>
                <w:szCs w:val="21"/>
              </w:rPr>
              <w:t>。</w:t>
            </w:r>
          </w:p>
        </w:tc>
      </w:tr>
    </w:tbl>
    <w:p>
      <w:pPr>
        <w:pStyle w:val="3"/>
        <w:spacing w:before="312" w:beforeLines="100"/>
        <w:rPr>
          <w:color w:val="auto"/>
        </w:rPr>
      </w:pPr>
      <w:bookmarkStart w:id="66" w:name="_Toc27350"/>
      <w:r>
        <w:rPr>
          <w:rFonts w:hint="eastAsia"/>
          <w:color w:val="auto"/>
        </w:rPr>
        <w:t>噪声</w:t>
      </w:r>
      <w:bookmarkEnd w:id="66"/>
    </w:p>
    <w:p>
      <w:pPr>
        <w:snapToGrid w:val="0"/>
        <w:ind w:firstLine="480"/>
        <w:rPr>
          <w:color w:val="auto"/>
        </w:rPr>
      </w:pPr>
      <w:r>
        <w:rPr>
          <w:rFonts w:hint="eastAsia"/>
          <w:color w:val="auto"/>
        </w:rPr>
        <w:t>项目厂界噪声执行《工业企业厂界噪声排放标准》（GB12348-2008）3类标准：昼间≤65dB(A)，夜间≤55dB(A)。</w:t>
      </w:r>
    </w:p>
    <w:p>
      <w:pPr>
        <w:pStyle w:val="3"/>
        <w:rPr>
          <w:color w:val="auto"/>
        </w:rPr>
      </w:pPr>
      <w:bookmarkStart w:id="67" w:name="_Toc6519"/>
      <w:r>
        <w:rPr>
          <w:rFonts w:hint="eastAsia"/>
          <w:color w:val="auto"/>
        </w:rPr>
        <w:t>固体废物</w:t>
      </w:r>
      <w:bookmarkEnd w:id="67"/>
    </w:p>
    <w:p>
      <w:pPr>
        <w:widowControl/>
        <w:snapToGrid w:val="0"/>
        <w:ind w:firstLine="480"/>
        <w:rPr>
          <w:rFonts w:cs="Times New Roman"/>
          <w:color w:val="auto"/>
          <w:kern w:val="0"/>
          <w:szCs w:val="24"/>
        </w:rPr>
      </w:pPr>
      <w:r>
        <w:rPr>
          <w:rFonts w:ascii="宋体" w:hAnsi="宋体" w:cs="Times New Roman"/>
          <w:color w:val="auto"/>
          <w:szCs w:val="24"/>
        </w:rPr>
        <w:t>固体废物管理应遵循《中华人民共和国固体废物污染环境防治法》《广东省固体废物污染环境防治条例》《固体废物鉴别标准通则》（</w:t>
      </w:r>
      <w:r>
        <w:rPr>
          <w:rFonts w:cs="Times New Roman"/>
          <w:color w:val="auto"/>
          <w:szCs w:val="24"/>
        </w:rPr>
        <w:t>GB 34330-2017</w:t>
      </w:r>
      <w:r>
        <w:rPr>
          <w:rFonts w:ascii="宋体" w:hAnsi="宋体" w:cs="Times New Roman"/>
          <w:color w:val="auto"/>
          <w:szCs w:val="24"/>
        </w:rPr>
        <w:t>）等相关规定。</w:t>
      </w:r>
      <w:r>
        <w:rPr>
          <w:rFonts w:hint="eastAsia" w:ascii="宋体" w:hAnsi="宋体" w:cs="Times New Roman"/>
          <w:color w:val="auto"/>
          <w:szCs w:val="24"/>
        </w:rPr>
        <w:t>一般工业固体废物执行《一般工业固体废物贮存、处置场污染控制标准》（</w:t>
      </w:r>
      <w:r>
        <w:rPr>
          <w:rFonts w:hint="eastAsia" w:cs="Times New Roman"/>
          <w:color w:val="auto"/>
          <w:szCs w:val="24"/>
        </w:rPr>
        <w:t>GB18599-2020</w:t>
      </w:r>
      <w:r>
        <w:rPr>
          <w:rFonts w:hint="eastAsia" w:ascii="宋体" w:hAnsi="宋体" w:cs="Times New Roman"/>
          <w:color w:val="auto"/>
          <w:szCs w:val="24"/>
        </w:rPr>
        <w:t>）</w:t>
      </w:r>
      <w:r>
        <w:rPr>
          <w:rFonts w:ascii="宋体" w:hAnsi="宋体" w:cs="Times New Roman"/>
          <w:color w:val="auto"/>
          <w:szCs w:val="24"/>
        </w:rPr>
        <w:t>。危险废物管理执行《建设项目危险废物环境影响评价指南》《国家危险废物名录》（</w:t>
      </w:r>
      <w:r>
        <w:rPr>
          <w:rFonts w:cs="Times New Roman"/>
          <w:color w:val="auto"/>
          <w:szCs w:val="24"/>
        </w:rPr>
        <w:t>202</w:t>
      </w:r>
      <w:r>
        <w:rPr>
          <w:rFonts w:hint="eastAsia" w:cs="Times New Roman"/>
          <w:color w:val="auto"/>
          <w:szCs w:val="24"/>
        </w:rPr>
        <w:t>5</w:t>
      </w:r>
      <w:r>
        <w:rPr>
          <w:rFonts w:ascii="宋体" w:hAnsi="宋体" w:cs="Times New Roman"/>
          <w:color w:val="auto"/>
          <w:szCs w:val="24"/>
        </w:rPr>
        <w:t>年版）以及《危险废物贮存污染控制标准》（</w:t>
      </w:r>
      <w:r>
        <w:rPr>
          <w:rFonts w:cs="Times New Roman"/>
          <w:color w:val="auto"/>
          <w:szCs w:val="24"/>
        </w:rPr>
        <w:t>GB 18597-2023</w:t>
      </w:r>
      <w:r>
        <w:rPr>
          <w:rFonts w:ascii="宋体" w:hAnsi="宋体" w:cs="Times New Roman"/>
          <w:color w:val="auto"/>
          <w:szCs w:val="24"/>
        </w:rPr>
        <w:t>）</w:t>
      </w:r>
      <w:r>
        <w:rPr>
          <w:rFonts w:ascii="宋体" w:hAnsi="宋体" w:cs="Times New Roman"/>
          <w:color w:val="auto"/>
          <w:kern w:val="0"/>
          <w:szCs w:val="24"/>
        </w:rPr>
        <w:t>。</w:t>
      </w:r>
      <w:r>
        <w:rPr>
          <w:color w:val="auto"/>
        </w:rPr>
        <w:br w:type="page"/>
      </w:r>
    </w:p>
    <w:p>
      <w:pPr>
        <w:pStyle w:val="2"/>
        <w:rPr>
          <w:color w:val="auto"/>
        </w:rPr>
      </w:pPr>
      <w:bookmarkStart w:id="68" w:name="_Toc646"/>
      <w:r>
        <w:rPr>
          <w:rFonts w:hint="eastAsia"/>
          <w:color w:val="auto"/>
        </w:rPr>
        <w:t>验收监测内容</w:t>
      </w:r>
      <w:bookmarkEnd w:id="68"/>
    </w:p>
    <w:p>
      <w:pPr>
        <w:pStyle w:val="3"/>
        <w:rPr>
          <w:color w:val="auto"/>
        </w:rPr>
      </w:pPr>
      <w:bookmarkStart w:id="69" w:name="_Toc7031"/>
      <w:r>
        <w:rPr>
          <w:rFonts w:hint="eastAsia"/>
          <w:color w:val="auto"/>
        </w:rPr>
        <w:t>废水</w:t>
      </w:r>
      <w:bookmarkEnd w:id="69"/>
    </w:p>
    <w:p>
      <w:pPr>
        <w:pStyle w:val="35"/>
        <w:rPr>
          <w:color w:val="auto"/>
        </w:rPr>
      </w:pPr>
      <w:r>
        <w:rPr>
          <w:rFonts w:hint="eastAsia"/>
          <w:color w:val="auto"/>
        </w:rPr>
        <w:t xml:space="preserve">表 </w:t>
      </w:r>
      <w:r>
        <w:rPr>
          <w:color w:val="auto"/>
        </w:rPr>
        <w:fldChar w:fldCharType="begin"/>
      </w:r>
      <w:r>
        <w:rPr>
          <w:color w:val="auto"/>
        </w:rPr>
        <w:instrText xml:space="preserve"> </w:instrText>
      </w:r>
      <w:r>
        <w:rPr>
          <w:rFonts w:hint="eastAsia"/>
          <w:color w:val="auto"/>
        </w:rPr>
        <w:instrText xml:space="preserve">STYLEREF 2 \s</w:instrText>
      </w:r>
      <w:r>
        <w:rPr>
          <w:color w:val="auto"/>
        </w:rPr>
        <w:instrText xml:space="preserve"> </w:instrText>
      </w:r>
      <w:r>
        <w:rPr>
          <w:color w:val="auto"/>
        </w:rPr>
        <w:fldChar w:fldCharType="separate"/>
      </w:r>
      <w:r>
        <w:rPr>
          <w:color w:val="auto"/>
        </w:rPr>
        <w:t>7.1</w:t>
      </w:r>
      <w:r>
        <w:rPr>
          <w:color w:val="auto"/>
        </w:rPr>
        <w:fldChar w:fldCharType="end"/>
      </w:r>
      <w:r>
        <w:rPr>
          <w:color w:val="auto"/>
        </w:rPr>
        <w:noBreakHyphen/>
      </w:r>
      <w:r>
        <w:rPr>
          <w:color w:val="auto"/>
        </w:rPr>
        <w:fldChar w:fldCharType="begin"/>
      </w:r>
      <w:r>
        <w:rPr>
          <w:color w:val="auto"/>
        </w:rPr>
        <w:instrText xml:space="preserve"> </w:instrText>
      </w:r>
      <w:r>
        <w:rPr>
          <w:rFonts w:hint="eastAsia"/>
          <w:color w:val="auto"/>
        </w:rPr>
        <w:instrText xml:space="preserve">SEQ 表 \* ARABIC \s 2</w:instrText>
      </w:r>
      <w:r>
        <w:rPr>
          <w:color w:val="auto"/>
        </w:rPr>
        <w:instrText xml:space="preserve"> </w:instrText>
      </w:r>
      <w:r>
        <w:rPr>
          <w:color w:val="auto"/>
        </w:rPr>
        <w:fldChar w:fldCharType="separate"/>
      </w:r>
      <w:r>
        <w:rPr>
          <w:color w:val="auto"/>
        </w:rPr>
        <w:t>1</w:t>
      </w:r>
      <w:r>
        <w:rPr>
          <w:color w:val="auto"/>
        </w:rPr>
        <w:fldChar w:fldCharType="end"/>
      </w:r>
      <w:r>
        <w:rPr>
          <w:color w:val="auto"/>
        </w:rPr>
        <w:t xml:space="preserve"> </w:t>
      </w:r>
      <w:r>
        <w:rPr>
          <w:rFonts w:hint="eastAsia"/>
          <w:color w:val="auto"/>
        </w:rPr>
        <w:t>废水监测点位、监测项目和频次一览表</w:t>
      </w:r>
    </w:p>
    <w:tbl>
      <w:tblPr>
        <w:tblStyle w:val="24"/>
        <w:tblW w:w="852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0"/>
        <w:gridCol w:w="1839"/>
        <w:gridCol w:w="3525"/>
        <w:gridCol w:w="24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93" w:hRule="atLeast"/>
          <w:jc w:val="center"/>
        </w:trPr>
        <w:tc>
          <w:tcPr>
            <w:tcW w:w="70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编号</w:t>
            </w:r>
          </w:p>
        </w:tc>
        <w:tc>
          <w:tcPr>
            <w:tcW w:w="1839" w:type="dxa"/>
            <w:tcBorders>
              <w:top w:val="single" w:color="auto" w:sz="4" w:space="0"/>
              <w:left w:val="nil"/>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监测点位</w:t>
            </w:r>
          </w:p>
        </w:tc>
        <w:tc>
          <w:tcPr>
            <w:tcW w:w="3525" w:type="dxa"/>
            <w:tcBorders>
              <w:top w:val="single" w:color="auto" w:sz="4" w:space="0"/>
              <w:left w:val="nil"/>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监测项目</w:t>
            </w:r>
          </w:p>
        </w:tc>
        <w:tc>
          <w:tcPr>
            <w:tcW w:w="2458" w:type="dxa"/>
            <w:tcBorders>
              <w:top w:val="single" w:color="auto" w:sz="4" w:space="0"/>
              <w:left w:val="nil"/>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361" w:hRule="atLeast"/>
          <w:jc w:val="center"/>
        </w:trPr>
        <w:tc>
          <w:tcPr>
            <w:tcW w:w="700"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W1</w:t>
            </w:r>
          </w:p>
        </w:tc>
        <w:tc>
          <w:tcPr>
            <w:tcW w:w="1839" w:type="dxa"/>
            <w:tcBorders>
              <w:top w:val="single" w:color="auto" w:sz="4" w:space="0"/>
              <w:left w:val="nil"/>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hint="eastAsia" w:cs="Times New Roman"/>
                <w:color w:val="auto"/>
                <w:sz w:val="21"/>
                <w:szCs w:val="21"/>
              </w:rPr>
              <w:t>生活污水排放口</w:t>
            </w:r>
          </w:p>
        </w:tc>
        <w:tc>
          <w:tcPr>
            <w:tcW w:w="3525" w:type="dxa"/>
            <w:tcBorders>
              <w:top w:val="single" w:color="auto" w:sz="4" w:space="0"/>
              <w:left w:val="nil"/>
              <w:bottom w:val="single" w:color="auto" w:sz="4" w:space="0"/>
              <w:right w:val="single" w:color="auto" w:sz="4" w:space="0"/>
            </w:tcBorders>
            <w:vAlign w:val="center"/>
          </w:tcPr>
          <w:p>
            <w:pPr>
              <w:adjustRightInd w:val="0"/>
              <w:snapToGrid w:val="0"/>
              <w:spacing w:before="100" w:after="100" w:line="240" w:lineRule="auto"/>
              <w:ind w:firstLine="0" w:firstLineChars="0"/>
              <w:jc w:val="center"/>
              <w:rPr>
                <w:rFonts w:cs="Times New Roman"/>
                <w:color w:val="auto"/>
                <w:sz w:val="21"/>
                <w:szCs w:val="21"/>
              </w:rPr>
            </w:pPr>
            <w:r>
              <w:rPr>
                <w:rFonts w:hint="eastAsia" w:cs="Times New Roman"/>
                <w:color w:val="auto"/>
                <w:sz w:val="21"/>
                <w:szCs w:val="21"/>
              </w:rPr>
              <w:t>pH、CODcr、BOD</w:t>
            </w:r>
            <w:r>
              <w:rPr>
                <w:rFonts w:hint="eastAsia" w:cs="Times New Roman"/>
                <w:color w:val="auto"/>
                <w:sz w:val="21"/>
                <w:szCs w:val="21"/>
                <w:vertAlign w:val="subscript"/>
              </w:rPr>
              <w:t>5</w:t>
            </w:r>
            <w:r>
              <w:rPr>
                <w:rFonts w:hint="eastAsia" w:cs="Times New Roman"/>
                <w:color w:val="auto"/>
                <w:sz w:val="21"/>
                <w:szCs w:val="21"/>
              </w:rPr>
              <w:t>、SS、氨氮、      动植物油</w:t>
            </w:r>
          </w:p>
        </w:tc>
        <w:tc>
          <w:tcPr>
            <w:tcW w:w="2458" w:type="dxa"/>
            <w:tcBorders>
              <w:top w:val="nil"/>
              <w:left w:val="nil"/>
              <w:bottom w:val="single" w:color="auto" w:sz="4" w:space="0"/>
              <w:right w:val="single" w:color="auto" w:sz="4" w:space="0"/>
            </w:tcBorders>
            <w:vAlign w:val="center"/>
          </w:tcPr>
          <w:p>
            <w:pPr>
              <w:adjustRightInd w:val="0"/>
              <w:snapToGrid w:val="0"/>
              <w:ind w:firstLine="199" w:firstLineChars="95"/>
              <w:rPr>
                <w:rFonts w:cs="Times New Roman"/>
                <w:color w:val="auto"/>
                <w:sz w:val="21"/>
                <w:szCs w:val="21"/>
              </w:rPr>
            </w:pPr>
            <w:r>
              <w:rPr>
                <w:rFonts w:cs="Times New Roman"/>
                <w:color w:val="auto"/>
                <w:sz w:val="21"/>
                <w:szCs w:val="21"/>
              </w:rPr>
              <w:t>连续采样监测2天、</w:t>
            </w:r>
          </w:p>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每天采样4次</w:t>
            </w:r>
          </w:p>
        </w:tc>
      </w:tr>
    </w:tbl>
    <w:p>
      <w:pPr>
        <w:pStyle w:val="3"/>
        <w:rPr>
          <w:color w:val="auto"/>
        </w:rPr>
      </w:pPr>
      <w:bookmarkStart w:id="70" w:name="_Toc31603"/>
      <w:r>
        <w:rPr>
          <w:rFonts w:hint="eastAsia"/>
          <w:color w:val="auto"/>
        </w:rPr>
        <w:t>废气</w:t>
      </w:r>
      <w:bookmarkEnd w:id="70"/>
    </w:p>
    <w:p>
      <w:pPr>
        <w:pStyle w:val="35"/>
        <w:rPr>
          <w:color w:val="auto"/>
        </w:rPr>
      </w:pPr>
      <w:r>
        <w:rPr>
          <w:rFonts w:hint="eastAsia"/>
          <w:color w:val="auto"/>
        </w:rPr>
        <w:t xml:space="preserve">表 </w:t>
      </w:r>
      <w:r>
        <w:rPr>
          <w:color w:val="auto"/>
        </w:rPr>
        <w:t>7.2</w:t>
      </w:r>
      <w:r>
        <w:rPr>
          <w:color w:val="auto"/>
        </w:rPr>
        <w:noBreakHyphen/>
      </w:r>
      <w:r>
        <w:rPr>
          <w:color w:val="auto"/>
        </w:rPr>
        <w:fldChar w:fldCharType="begin"/>
      </w:r>
      <w:r>
        <w:rPr>
          <w:color w:val="auto"/>
        </w:rPr>
        <w:instrText xml:space="preserve"> </w:instrText>
      </w:r>
      <w:r>
        <w:rPr>
          <w:rFonts w:hint="eastAsia"/>
          <w:color w:val="auto"/>
        </w:rPr>
        <w:instrText xml:space="preserve">SEQ 表 \* ARABIC \s 2</w:instrText>
      </w:r>
      <w:r>
        <w:rPr>
          <w:color w:val="auto"/>
        </w:rPr>
        <w:instrText xml:space="preserve"> </w:instrText>
      </w:r>
      <w:r>
        <w:rPr>
          <w:color w:val="auto"/>
        </w:rPr>
        <w:fldChar w:fldCharType="separate"/>
      </w:r>
      <w:r>
        <w:rPr>
          <w:color w:val="auto"/>
        </w:rPr>
        <w:t>1</w:t>
      </w:r>
      <w:r>
        <w:rPr>
          <w:color w:val="auto"/>
        </w:rPr>
        <w:fldChar w:fldCharType="end"/>
      </w:r>
      <w:r>
        <w:rPr>
          <w:color w:val="auto"/>
        </w:rPr>
        <w:t xml:space="preserve"> </w:t>
      </w:r>
      <w:r>
        <w:rPr>
          <w:rFonts w:hint="eastAsia"/>
          <w:color w:val="auto"/>
        </w:rPr>
        <w:t>废气监测点位、监测项目和频次一览表</w:t>
      </w:r>
    </w:p>
    <w:tbl>
      <w:tblPr>
        <w:tblStyle w:val="24"/>
        <w:tblW w:w="852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76"/>
        <w:gridCol w:w="3592"/>
        <w:gridCol w:w="2026"/>
        <w:gridCol w:w="900"/>
        <w:gridCol w:w="14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7" w:hRule="atLeast"/>
          <w:jc w:val="center"/>
        </w:trPr>
        <w:tc>
          <w:tcPr>
            <w:tcW w:w="576" w:type="dxa"/>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编号</w:t>
            </w:r>
          </w:p>
        </w:tc>
        <w:tc>
          <w:tcPr>
            <w:tcW w:w="3592" w:type="dxa"/>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监测点位</w:t>
            </w:r>
          </w:p>
        </w:tc>
        <w:tc>
          <w:tcPr>
            <w:tcW w:w="2026" w:type="dxa"/>
            <w:tcBorders>
              <w:bottom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监测项目</w:t>
            </w:r>
          </w:p>
        </w:tc>
        <w:tc>
          <w:tcPr>
            <w:tcW w:w="900" w:type="dxa"/>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频次</w:t>
            </w:r>
          </w:p>
        </w:tc>
        <w:tc>
          <w:tcPr>
            <w:tcW w:w="1428" w:type="dxa"/>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289" w:hRule="atLeast"/>
          <w:jc w:val="center"/>
        </w:trPr>
        <w:tc>
          <w:tcPr>
            <w:tcW w:w="576" w:type="dxa"/>
            <w:vMerge w:val="restart"/>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有组织</w:t>
            </w:r>
          </w:p>
        </w:tc>
        <w:tc>
          <w:tcPr>
            <w:tcW w:w="3592" w:type="dxa"/>
            <w:tcBorders>
              <w:top w:val="single" w:color="auto" w:sz="4" w:space="0"/>
              <w:left w:val="nil"/>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喷粉固化废气、喷漆废气（喷漆房1）、烘干废气（烤漆炉1）、调漆废气、液化石油气燃烧废气（烤漆炉1和固化炉）、危废间废气废气排放口（DA001）</w:t>
            </w:r>
          </w:p>
        </w:tc>
        <w:tc>
          <w:tcPr>
            <w:tcW w:w="202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kern w:val="0"/>
                <w:sz w:val="21"/>
                <w:szCs w:val="21"/>
              </w:rPr>
              <w:t>总VOCs、二甲苯、颗粒物、二氧化硫、氮氧化物、臭气浓度</w:t>
            </w:r>
          </w:p>
        </w:tc>
        <w:tc>
          <w:tcPr>
            <w:tcW w:w="900" w:type="dxa"/>
            <w:vMerge w:val="restart"/>
            <w:tcBorders>
              <w:top w:val="single" w:color="auto" w:sz="4" w:space="0"/>
              <w:left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连续采样监测2天、</w:t>
            </w:r>
          </w:p>
          <w:p>
            <w:pPr>
              <w:adjustRightInd w:val="0"/>
              <w:snapToGrid w:val="0"/>
              <w:spacing w:line="240" w:lineRule="auto"/>
              <w:ind w:firstLine="0" w:firstLineChars="0"/>
              <w:rPr>
                <w:rFonts w:cs="Times New Roman"/>
                <w:color w:val="auto"/>
                <w:sz w:val="21"/>
                <w:szCs w:val="21"/>
              </w:rPr>
            </w:pPr>
            <w:r>
              <w:rPr>
                <w:rFonts w:cs="Times New Roman"/>
                <w:color w:val="auto"/>
                <w:sz w:val="21"/>
                <w:szCs w:val="21"/>
              </w:rPr>
              <w:t>每天采样3次</w:t>
            </w:r>
          </w:p>
        </w:tc>
        <w:tc>
          <w:tcPr>
            <w:tcW w:w="1428" w:type="dxa"/>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4" w:hRule="atLeast"/>
          <w:jc w:val="center"/>
        </w:trPr>
        <w:tc>
          <w:tcPr>
            <w:tcW w:w="576" w:type="dxa"/>
            <w:vMerge w:val="continue"/>
            <w:vAlign w:val="center"/>
          </w:tcPr>
          <w:p>
            <w:pPr>
              <w:adjustRightInd w:val="0"/>
              <w:snapToGrid w:val="0"/>
              <w:spacing w:line="240" w:lineRule="auto"/>
              <w:ind w:firstLine="0" w:firstLineChars="0"/>
              <w:jc w:val="center"/>
              <w:rPr>
                <w:rFonts w:cs="Times New Roman"/>
                <w:color w:val="auto"/>
                <w:sz w:val="21"/>
                <w:szCs w:val="21"/>
                <w:highlight w:val="yellow"/>
              </w:rPr>
            </w:pPr>
          </w:p>
        </w:tc>
        <w:tc>
          <w:tcPr>
            <w:tcW w:w="3592" w:type="dxa"/>
            <w:tcBorders>
              <w:top w:val="single" w:color="auto" w:sz="4" w:space="0"/>
              <w:left w:val="nil"/>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highlight w:val="yellow"/>
              </w:rPr>
            </w:pPr>
            <w:r>
              <w:rPr>
                <w:rFonts w:cs="Times New Roman"/>
                <w:color w:val="auto"/>
                <w:sz w:val="21"/>
                <w:szCs w:val="21"/>
              </w:rPr>
              <w:t>胶合有机废气、清抹有机废气、喷漆废气（喷漆房2）、烘干废气（烤漆炉2）、液化石油气燃烧废气（烤漆炉2）废气排放口（DA002）</w:t>
            </w:r>
          </w:p>
        </w:tc>
        <w:tc>
          <w:tcPr>
            <w:tcW w:w="202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snapToGrid w:val="0"/>
                <w:color w:val="auto"/>
                <w:kern w:val="0"/>
                <w:sz w:val="21"/>
                <w:szCs w:val="21"/>
                <w:highlight w:val="yellow"/>
              </w:rPr>
            </w:pPr>
            <w:r>
              <w:rPr>
                <w:rFonts w:cs="Times New Roman"/>
                <w:color w:val="auto"/>
                <w:sz w:val="21"/>
                <w:szCs w:val="21"/>
              </w:rPr>
              <w:t>总VOCs、二甲苯、颗粒物、二氧化硫、氮氧化物、臭气浓度</w:t>
            </w:r>
          </w:p>
        </w:tc>
        <w:tc>
          <w:tcPr>
            <w:tcW w:w="900" w:type="dxa"/>
            <w:vMerge w:val="continue"/>
            <w:tcBorders>
              <w:left w:val="single" w:color="auto" w:sz="4" w:space="0"/>
              <w:right w:val="single" w:color="auto" w:sz="4" w:space="0"/>
            </w:tcBorders>
            <w:vAlign w:val="center"/>
          </w:tcPr>
          <w:p>
            <w:pPr>
              <w:adjustRightInd w:val="0"/>
              <w:snapToGrid w:val="0"/>
              <w:spacing w:line="240" w:lineRule="auto"/>
              <w:ind w:firstLine="420"/>
              <w:jc w:val="center"/>
              <w:rPr>
                <w:rFonts w:cs="Times New Roman"/>
                <w:color w:val="auto"/>
                <w:sz w:val="21"/>
                <w:szCs w:val="21"/>
                <w:highlight w:val="yellow"/>
              </w:rPr>
            </w:pPr>
          </w:p>
        </w:tc>
        <w:tc>
          <w:tcPr>
            <w:tcW w:w="1428" w:type="dxa"/>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4" w:hRule="atLeast"/>
          <w:jc w:val="center"/>
        </w:trPr>
        <w:tc>
          <w:tcPr>
            <w:tcW w:w="576" w:type="dxa"/>
            <w:vMerge w:val="continue"/>
            <w:tcBorders>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highlight w:val="yellow"/>
              </w:rPr>
            </w:pPr>
          </w:p>
        </w:tc>
        <w:tc>
          <w:tcPr>
            <w:tcW w:w="359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highlight w:val="yellow"/>
              </w:rPr>
            </w:pPr>
            <w:r>
              <w:rPr>
                <w:rFonts w:cs="Times New Roman"/>
                <w:color w:val="auto"/>
                <w:sz w:val="21"/>
                <w:szCs w:val="21"/>
              </w:rPr>
              <w:t>厨房油烟排放口</w:t>
            </w:r>
          </w:p>
        </w:tc>
        <w:tc>
          <w:tcPr>
            <w:tcW w:w="202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pacing w:val="10"/>
                <w:sz w:val="21"/>
                <w:szCs w:val="21"/>
                <w:highlight w:val="yellow"/>
              </w:rPr>
            </w:pPr>
            <w:r>
              <w:rPr>
                <w:rFonts w:cs="Times New Roman"/>
                <w:color w:val="auto"/>
                <w:kern w:val="0"/>
                <w:sz w:val="21"/>
                <w:szCs w:val="21"/>
              </w:rPr>
              <w:t>油烟</w:t>
            </w:r>
          </w:p>
        </w:tc>
        <w:tc>
          <w:tcPr>
            <w:tcW w:w="900" w:type="dxa"/>
            <w:vMerge w:val="continue"/>
            <w:tcBorders>
              <w:left w:val="single" w:color="auto" w:sz="4" w:space="0"/>
              <w:right w:val="single" w:color="auto" w:sz="4" w:space="0"/>
            </w:tcBorders>
            <w:vAlign w:val="center"/>
          </w:tcPr>
          <w:p>
            <w:pPr>
              <w:adjustRightInd w:val="0"/>
              <w:snapToGrid w:val="0"/>
              <w:spacing w:line="240" w:lineRule="auto"/>
              <w:ind w:firstLine="420"/>
              <w:jc w:val="center"/>
              <w:rPr>
                <w:rFonts w:cs="Times New Roman"/>
                <w:color w:val="auto"/>
                <w:sz w:val="21"/>
                <w:szCs w:val="21"/>
                <w:highlight w:val="yellow"/>
              </w:rPr>
            </w:pPr>
          </w:p>
        </w:tc>
        <w:tc>
          <w:tcPr>
            <w:tcW w:w="1428" w:type="dxa"/>
            <w:tcBorders>
              <w:lef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4" w:hRule="atLeast"/>
          <w:jc w:val="center"/>
        </w:trPr>
        <w:tc>
          <w:tcPr>
            <w:tcW w:w="576" w:type="dxa"/>
            <w:vMerge w:val="restart"/>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无组织废气</w:t>
            </w:r>
          </w:p>
        </w:tc>
        <w:tc>
          <w:tcPr>
            <w:tcW w:w="359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无组织废气上风点○1</w:t>
            </w:r>
          </w:p>
        </w:tc>
        <w:tc>
          <w:tcPr>
            <w:tcW w:w="2026" w:type="dxa"/>
            <w:vMerge w:val="restart"/>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颗粒物、锰及其化合物、镍及其化合物、二氧化硫、氮氧化物、臭气浓度</w:t>
            </w:r>
          </w:p>
        </w:tc>
        <w:tc>
          <w:tcPr>
            <w:tcW w:w="900" w:type="dxa"/>
            <w:vMerge w:val="restart"/>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连续采样监测2天、</w:t>
            </w:r>
          </w:p>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每天采样3次</w:t>
            </w:r>
          </w:p>
        </w:tc>
        <w:tc>
          <w:tcPr>
            <w:tcW w:w="1428" w:type="dxa"/>
            <w:vMerge w:val="restart"/>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同时记录气温、风速、气压、湿度、风向等气象条件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4" w:hRule="atLeast"/>
          <w:jc w:val="center"/>
        </w:trPr>
        <w:tc>
          <w:tcPr>
            <w:tcW w:w="576" w:type="dxa"/>
            <w:vMerge w:val="continue"/>
            <w:vAlign w:val="center"/>
          </w:tcPr>
          <w:p>
            <w:pPr>
              <w:adjustRightInd w:val="0"/>
              <w:snapToGrid w:val="0"/>
              <w:spacing w:line="240" w:lineRule="auto"/>
              <w:ind w:firstLine="0" w:firstLineChars="0"/>
              <w:jc w:val="center"/>
              <w:rPr>
                <w:rFonts w:cs="Times New Roman"/>
                <w:color w:val="auto"/>
                <w:sz w:val="21"/>
                <w:szCs w:val="21"/>
                <w:highlight w:val="yellow"/>
              </w:rPr>
            </w:pPr>
          </w:p>
        </w:tc>
        <w:tc>
          <w:tcPr>
            <w:tcW w:w="359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无组织废气下风点○2</w:t>
            </w:r>
          </w:p>
        </w:tc>
        <w:tc>
          <w:tcPr>
            <w:tcW w:w="2026" w:type="dxa"/>
            <w:vMerge w:val="continue"/>
            <w:vAlign w:val="center"/>
          </w:tcPr>
          <w:p>
            <w:pPr>
              <w:adjustRightInd w:val="0"/>
              <w:snapToGrid w:val="0"/>
              <w:spacing w:line="240" w:lineRule="auto"/>
              <w:ind w:firstLine="0" w:firstLineChars="0"/>
              <w:jc w:val="center"/>
              <w:rPr>
                <w:rFonts w:cs="Times New Roman"/>
                <w:color w:val="auto"/>
                <w:sz w:val="21"/>
                <w:szCs w:val="21"/>
                <w:highlight w:val="yellow"/>
              </w:rPr>
            </w:pPr>
          </w:p>
        </w:tc>
        <w:tc>
          <w:tcPr>
            <w:tcW w:w="900" w:type="dxa"/>
            <w:vMerge w:val="continue"/>
            <w:vAlign w:val="center"/>
          </w:tcPr>
          <w:p>
            <w:pPr>
              <w:adjustRightInd w:val="0"/>
              <w:snapToGrid w:val="0"/>
              <w:spacing w:line="240" w:lineRule="auto"/>
              <w:ind w:firstLine="0" w:firstLineChars="0"/>
              <w:jc w:val="center"/>
              <w:rPr>
                <w:rFonts w:cs="Times New Roman"/>
                <w:color w:val="auto"/>
                <w:sz w:val="21"/>
                <w:szCs w:val="21"/>
                <w:highlight w:val="yellow"/>
              </w:rPr>
            </w:pPr>
          </w:p>
        </w:tc>
        <w:tc>
          <w:tcPr>
            <w:tcW w:w="1428" w:type="dxa"/>
            <w:vMerge w:val="continue"/>
          </w:tcPr>
          <w:p>
            <w:pPr>
              <w:adjustRightInd w:val="0"/>
              <w:snapToGrid w:val="0"/>
              <w:spacing w:line="240" w:lineRule="auto"/>
              <w:ind w:firstLine="0" w:firstLineChars="0"/>
              <w:jc w:val="center"/>
              <w:rPr>
                <w:rFonts w:cs="Times New Roman"/>
                <w:color w:val="auto"/>
                <w:sz w:val="21"/>
                <w:szCs w:val="21"/>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4" w:hRule="atLeast"/>
          <w:jc w:val="center"/>
        </w:trPr>
        <w:tc>
          <w:tcPr>
            <w:tcW w:w="576" w:type="dxa"/>
            <w:vMerge w:val="continue"/>
            <w:vAlign w:val="center"/>
          </w:tcPr>
          <w:p>
            <w:pPr>
              <w:adjustRightInd w:val="0"/>
              <w:snapToGrid w:val="0"/>
              <w:spacing w:line="240" w:lineRule="auto"/>
              <w:ind w:firstLine="0" w:firstLineChars="0"/>
              <w:jc w:val="center"/>
              <w:rPr>
                <w:rFonts w:cs="Times New Roman"/>
                <w:color w:val="auto"/>
                <w:sz w:val="21"/>
                <w:szCs w:val="21"/>
                <w:highlight w:val="yellow"/>
              </w:rPr>
            </w:pPr>
          </w:p>
        </w:tc>
        <w:tc>
          <w:tcPr>
            <w:tcW w:w="359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无组织废气下风点○3</w:t>
            </w:r>
          </w:p>
        </w:tc>
        <w:tc>
          <w:tcPr>
            <w:tcW w:w="2026" w:type="dxa"/>
            <w:vMerge w:val="continue"/>
            <w:vAlign w:val="center"/>
          </w:tcPr>
          <w:p>
            <w:pPr>
              <w:adjustRightInd w:val="0"/>
              <w:snapToGrid w:val="0"/>
              <w:spacing w:line="240" w:lineRule="auto"/>
              <w:ind w:firstLine="0" w:firstLineChars="0"/>
              <w:jc w:val="center"/>
              <w:rPr>
                <w:rFonts w:cs="Times New Roman"/>
                <w:color w:val="auto"/>
                <w:sz w:val="21"/>
                <w:szCs w:val="21"/>
                <w:highlight w:val="yellow"/>
              </w:rPr>
            </w:pPr>
          </w:p>
        </w:tc>
        <w:tc>
          <w:tcPr>
            <w:tcW w:w="900" w:type="dxa"/>
            <w:vMerge w:val="continue"/>
            <w:vAlign w:val="center"/>
          </w:tcPr>
          <w:p>
            <w:pPr>
              <w:adjustRightInd w:val="0"/>
              <w:snapToGrid w:val="0"/>
              <w:spacing w:line="240" w:lineRule="auto"/>
              <w:ind w:firstLine="0" w:firstLineChars="0"/>
              <w:jc w:val="center"/>
              <w:rPr>
                <w:rFonts w:cs="Times New Roman"/>
                <w:color w:val="auto"/>
                <w:sz w:val="21"/>
                <w:szCs w:val="21"/>
                <w:highlight w:val="yellow"/>
              </w:rPr>
            </w:pPr>
          </w:p>
        </w:tc>
        <w:tc>
          <w:tcPr>
            <w:tcW w:w="1428" w:type="dxa"/>
            <w:vMerge w:val="continue"/>
          </w:tcPr>
          <w:p>
            <w:pPr>
              <w:adjustRightInd w:val="0"/>
              <w:snapToGrid w:val="0"/>
              <w:spacing w:line="240" w:lineRule="auto"/>
              <w:ind w:firstLine="0" w:firstLineChars="0"/>
              <w:jc w:val="center"/>
              <w:rPr>
                <w:rFonts w:cs="Times New Roman"/>
                <w:color w:val="auto"/>
                <w:sz w:val="21"/>
                <w:szCs w:val="21"/>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4" w:hRule="atLeast"/>
          <w:jc w:val="center"/>
        </w:trPr>
        <w:tc>
          <w:tcPr>
            <w:tcW w:w="576" w:type="dxa"/>
            <w:vMerge w:val="continue"/>
            <w:vAlign w:val="center"/>
          </w:tcPr>
          <w:p>
            <w:pPr>
              <w:adjustRightInd w:val="0"/>
              <w:snapToGrid w:val="0"/>
              <w:spacing w:line="240" w:lineRule="auto"/>
              <w:ind w:firstLine="0" w:firstLineChars="0"/>
              <w:jc w:val="center"/>
              <w:rPr>
                <w:rFonts w:cs="Times New Roman"/>
                <w:color w:val="auto"/>
                <w:sz w:val="21"/>
                <w:szCs w:val="21"/>
                <w:highlight w:val="yellow"/>
              </w:rPr>
            </w:pPr>
          </w:p>
        </w:tc>
        <w:tc>
          <w:tcPr>
            <w:tcW w:w="359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rPr>
            </w:pPr>
            <w:r>
              <w:rPr>
                <w:rFonts w:cs="Times New Roman"/>
                <w:color w:val="auto"/>
                <w:sz w:val="21"/>
                <w:szCs w:val="21"/>
              </w:rPr>
              <w:t>无组织废气下风点○4</w:t>
            </w:r>
          </w:p>
        </w:tc>
        <w:tc>
          <w:tcPr>
            <w:tcW w:w="2026" w:type="dxa"/>
            <w:vMerge w:val="continue"/>
            <w:vAlign w:val="center"/>
          </w:tcPr>
          <w:p>
            <w:pPr>
              <w:adjustRightInd w:val="0"/>
              <w:snapToGrid w:val="0"/>
              <w:spacing w:line="240" w:lineRule="auto"/>
              <w:ind w:firstLine="0" w:firstLineChars="0"/>
              <w:jc w:val="center"/>
              <w:rPr>
                <w:rFonts w:cs="Times New Roman"/>
                <w:color w:val="auto"/>
                <w:sz w:val="21"/>
                <w:szCs w:val="21"/>
                <w:highlight w:val="yellow"/>
              </w:rPr>
            </w:pPr>
          </w:p>
        </w:tc>
        <w:tc>
          <w:tcPr>
            <w:tcW w:w="900" w:type="dxa"/>
            <w:vMerge w:val="continue"/>
            <w:vAlign w:val="center"/>
          </w:tcPr>
          <w:p>
            <w:pPr>
              <w:adjustRightInd w:val="0"/>
              <w:snapToGrid w:val="0"/>
              <w:spacing w:line="240" w:lineRule="auto"/>
              <w:ind w:firstLine="0" w:firstLineChars="0"/>
              <w:jc w:val="center"/>
              <w:rPr>
                <w:rFonts w:cs="Times New Roman"/>
                <w:color w:val="auto"/>
                <w:sz w:val="21"/>
                <w:szCs w:val="21"/>
                <w:highlight w:val="yellow"/>
              </w:rPr>
            </w:pPr>
          </w:p>
        </w:tc>
        <w:tc>
          <w:tcPr>
            <w:tcW w:w="1428" w:type="dxa"/>
            <w:vMerge w:val="continue"/>
          </w:tcPr>
          <w:p>
            <w:pPr>
              <w:adjustRightInd w:val="0"/>
              <w:snapToGrid w:val="0"/>
              <w:spacing w:line="240" w:lineRule="auto"/>
              <w:ind w:firstLine="0" w:firstLineChars="0"/>
              <w:jc w:val="center"/>
              <w:rPr>
                <w:rFonts w:cs="Times New Roman"/>
                <w:color w:val="auto"/>
                <w:sz w:val="21"/>
                <w:szCs w:val="21"/>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4" w:hRule="atLeast"/>
          <w:jc w:val="center"/>
        </w:trPr>
        <w:tc>
          <w:tcPr>
            <w:tcW w:w="576" w:type="dxa"/>
            <w:vMerge w:val="continue"/>
            <w:vAlign w:val="center"/>
          </w:tcPr>
          <w:p>
            <w:pPr>
              <w:adjustRightInd w:val="0"/>
              <w:snapToGrid w:val="0"/>
              <w:spacing w:line="240" w:lineRule="auto"/>
              <w:ind w:firstLine="0" w:firstLineChars="0"/>
              <w:jc w:val="center"/>
              <w:rPr>
                <w:rFonts w:cs="Times New Roman"/>
                <w:color w:val="auto"/>
                <w:sz w:val="21"/>
                <w:szCs w:val="21"/>
                <w:highlight w:val="yellow"/>
              </w:rPr>
            </w:pPr>
          </w:p>
        </w:tc>
        <w:tc>
          <w:tcPr>
            <w:tcW w:w="359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highlight w:val="yellow"/>
              </w:rPr>
            </w:pPr>
            <w:r>
              <w:rPr>
                <w:rFonts w:cs="Times New Roman"/>
                <w:color w:val="auto"/>
                <w:sz w:val="21"/>
                <w:szCs w:val="21"/>
              </w:rPr>
              <w:t>厂区内</w:t>
            </w:r>
          </w:p>
        </w:tc>
        <w:tc>
          <w:tcPr>
            <w:tcW w:w="202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uto"/>
              <w:ind w:firstLine="0" w:firstLineChars="0"/>
              <w:jc w:val="center"/>
              <w:rPr>
                <w:rFonts w:cs="Times New Roman"/>
                <w:color w:val="auto"/>
                <w:sz w:val="21"/>
                <w:szCs w:val="21"/>
                <w:highlight w:val="yellow"/>
              </w:rPr>
            </w:pPr>
            <w:r>
              <w:rPr>
                <w:rFonts w:cs="Times New Roman"/>
                <w:color w:val="auto"/>
                <w:sz w:val="21"/>
                <w:szCs w:val="21"/>
              </w:rPr>
              <w:t>非甲烷总烃</w:t>
            </w:r>
          </w:p>
        </w:tc>
        <w:tc>
          <w:tcPr>
            <w:tcW w:w="900" w:type="dxa"/>
            <w:vMerge w:val="continue"/>
            <w:vAlign w:val="center"/>
          </w:tcPr>
          <w:p>
            <w:pPr>
              <w:adjustRightInd w:val="0"/>
              <w:snapToGrid w:val="0"/>
              <w:spacing w:line="240" w:lineRule="auto"/>
              <w:ind w:firstLine="0" w:firstLineChars="0"/>
              <w:jc w:val="center"/>
              <w:rPr>
                <w:rFonts w:cs="Times New Roman"/>
                <w:color w:val="auto"/>
                <w:sz w:val="21"/>
                <w:szCs w:val="21"/>
                <w:highlight w:val="yellow"/>
              </w:rPr>
            </w:pPr>
          </w:p>
        </w:tc>
        <w:tc>
          <w:tcPr>
            <w:tcW w:w="1428" w:type="dxa"/>
            <w:vMerge w:val="continue"/>
          </w:tcPr>
          <w:p>
            <w:pPr>
              <w:adjustRightInd w:val="0"/>
              <w:snapToGrid w:val="0"/>
              <w:spacing w:line="240" w:lineRule="auto"/>
              <w:ind w:firstLine="0" w:firstLineChars="0"/>
              <w:jc w:val="center"/>
              <w:rPr>
                <w:rFonts w:cs="Times New Roman"/>
                <w:color w:val="auto"/>
                <w:sz w:val="21"/>
                <w:szCs w:val="21"/>
                <w:highlight w:val="yellow"/>
              </w:rPr>
            </w:pPr>
          </w:p>
        </w:tc>
      </w:tr>
    </w:tbl>
    <w:p>
      <w:pPr>
        <w:pStyle w:val="3"/>
        <w:rPr>
          <w:color w:val="auto"/>
        </w:rPr>
      </w:pPr>
      <w:bookmarkStart w:id="71" w:name="_Toc9600"/>
      <w:r>
        <w:rPr>
          <w:rFonts w:hint="eastAsia"/>
          <w:color w:val="auto"/>
        </w:rPr>
        <w:t>厂界噪声监测</w:t>
      </w:r>
      <w:bookmarkEnd w:id="71"/>
    </w:p>
    <w:p>
      <w:pPr>
        <w:pStyle w:val="37"/>
        <w:rPr>
          <w:color w:val="auto"/>
        </w:rPr>
      </w:pPr>
      <w:r>
        <w:rPr>
          <w:rFonts w:hint="eastAsia"/>
          <w:color w:val="auto"/>
        </w:rPr>
        <w:t xml:space="preserve">表 </w:t>
      </w:r>
      <w:r>
        <w:rPr>
          <w:color w:val="auto"/>
        </w:rPr>
        <w:fldChar w:fldCharType="begin"/>
      </w:r>
      <w:r>
        <w:rPr>
          <w:color w:val="auto"/>
        </w:rPr>
        <w:instrText xml:space="preserve"> </w:instrText>
      </w:r>
      <w:r>
        <w:rPr>
          <w:rFonts w:hint="eastAsia"/>
          <w:color w:val="auto"/>
        </w:rPr>
        <w:instrText xml:space="preserve">STYLEREF 2 \s</w:instrText>
      </w:r>
      <w:r>
        <w:rPr>
          <w:color w:val="auto"/>
        </w:rPr>
        <w:instrText xml:space="preserve"> </w:instrText>
      </w:r>
      <w:r>
        <w:rPr>
          <w:color w:val="auto"/>
        </w:rPr>
        <w:fldChar w:fldCharType="separate"/>
      </w:r>
      <w:r>
        <w:rPr>
          <w:color w:val="auto"/>
        </w:rPr>
        <w:t>7.3</w:t>
      </w:r>
      <w:r>
        <w:rPr>
          <w:color w:val="auto"/>
        </w:rPr>
        <w:fldChar w:fldCharType="end"/>
      </w:r>
      <w:r>
        <w:rPr>
          <w:color w:val="auto"/>
        </w:rPr>
        <w:noBreakHyphen/>
      </w:r>
      <w:r>
        <w:rPr>
          <w:color w:val="auto"/>
        </w:rPr>
        <w:fldChar w:fldCharType="begin"/>
      </w:r>
      <w:r>
        <w:rPr>
          <w:color w:val="auto"/>
        </w:rPr>
        <w:instrText xml:space="preserve"> </w:instrText>
      </w:r>
      <w:r>
        <w:rPr>
          <w:rFonts w:hint="eastAsia"/>
          <w:color w:val="auto"/>
        </w:rPr>
        <w:instrText xml:space="preserve">SEQ 表 \* ARABIC \s 2</w:instrText>
      </w:r>
      <w:r>
        <w:rPr>
          <w:color w:val="auto"/>
        </w:rPr>
        <w:instrText xml:space="preserve"> </w:instrText>
      </w:r>
      <w:r>
        <w:rPr>
          <w:color w:val="auto"/>
        </w:rPr>
        <w:fldChar w:fldCharType="separate"/>
      </w:r>
      <w:r>
        <w:rPr>
          <w:color w:val="auto"/>
        </w:rPr>
        <w:t>1</w:t>
      </w:r>
      <w:r>
        <w:rPr>
          <w:color w:val="auto"/>
        </w:rPr>
        <w:fldChar w:fldCharType="end"/>
      </w:r>
      <w:r>
        <w:rPr>
          <w:color w:val="auto"/>
        </w:rPr>
        <w:t xml:space="preserve"> </w:t>
      </w:r>
      <w:r>
        <w:rPr>
          <w:rFonts w:hint="eastAsia"/>
          <w:color w:val="auto"/>
        </w:rPr>
        <w:t>噪声监测点一览表</w:t>
      </w:r>
    </w:p>
    <w:tbl>
      <w:tblPr>
        <w:tblStyle w:val="24"/>
        <w:tblW w:w="852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86"/>
        <w:gridCol w:w="2207"/>
        <w:gridCol w:w="2700"/>
        <w:gridCol w:w="18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786" w:type="dxa"/>
            <w:tcBorders>
              <w:top w:val="single" w:color="auto" w:sz="4" w:space="0"/>
              <w:left w:val="single" w:color="auto" w:sz="4" w:space="0"/>
              <w:bottom w:val="single" w:color="auto" w:sz="4" w:space="0"/>
              <w:right w:val="single" w:color="auto" w:sz="4" w:space="0"/>
            </w:tcBorders>
            <w:vAlign w:val="center"/>
          </w:tcPr>
          <w:p>
            <w:pPr>
              <w:pStyle w:val="8"/>
              <w:snapToGrid w:val="0"/>
              <w:spacing w:after="0" w:line="240" w:lineRule="auto"/>
              <w:ind w:firstLine="0" w:firstLineChars="0"/>
              <w:jc w:val="center"/>
              <w:rPr>
                <w:color w:val="auto"/>
                <w:sz w:val="21"/>
                <w:szCs w:val="21"/>
              </w:rPr>
            </w:pPr>
            <w:r>
              <w:rPr>
                <w:rFonts w:hint="eastAsia"/>
                <w:color w:val="auto"/>
                <w:sz w:val="21"/>
                <w:szCs w:val="21"/>
              </w:rPr>
              <w:t>编号</w:t>
            </w:r>
          </w:p>
        </w:tc>
        <w:tc>
          <w:tcPr>
            <w:tcW w:w="2207" w:type="dxa"/>
            <w:tcBorders>
              <w:top w:val="single" w:color="auto" w:sz="4" w:space="0"/>
              <w:left w:val="single" w:color="auto" w:sz="4" w:space="0"/>
              <w:bottom w:val="single" w:color="auto" w:sz="4" w:space="0"/>
              <w:right w:val="single" w:color="auto" w:sz="4" w:space="0"/>
            </w:tcBorders>
            <w:vAlign w:val="center"/>
          </w:tcPr>
          <w:p>
            <w:pPr>
              <w:pStyle w:val="8"/>
              <w:snapToGrid w:val="0"/>
              <w:spacing w:after="0" w:line="240" w:lineRule="auto"/>
              <w:ind w:firstLine="0" w:firstLineChars="0"/>
              <w:jc w:val="center"/>
              <w:rPr>
                <w:color w:val="auto"/>
                <w:sz w:val="21"/>
                <w:szCs w:val="21"/>
              </w:rPr>
            </w:pPr>
            <w:r>
              <w:rPr>
                <w:rFonts w:hint="eastAsia"/>
                <w:color w:val="auto"/>
                <w:sz w:val="21"/>
                <w:szCs w:val="21"/>
              </w:rPr>
              <w:t>监测点位</w:t>
            </w:r>
          </w:p>
        </w:tc>
        <w:tc>
          <w:tcPr>
            <w:tcW w:w="2700" w:type="dxa"/>
            <w:tcBorders>
              <w:top w:val="single" w:color="auto" w:sz="4" w:space="0"/>
              <w:left w:val="single" w:color="auto" w:sz="4" w:space="0"/>
              <w:bottom w:val="single" w:color="auto" w:sz="4" w:space="0"/>
              <w:right w:val="single" w:color="auto" w:sz="4" w:space="0"/>
            </w:tcBorders>
            <w:vAlign w:val="center"/>
          </w:tcPr>
          <w:p>
            <w:pPr>
              <w:pStyle w:val="8"/>
              <w:snapToGrid w:val="0"/>
              <w:spacing w:after="0" w:line="240" w:lineRule="auto"/>
              <w:ind w:firstLine="0" w:firstLineChars="0"/>
              <w:jc w:val="center"/>
              <w:rPr>
                <w:color w:val="auto"/>
                <w:sz w:val="21"/>
                <w:szCs w:val="21"/>
              </w:rPr>
            </w:pPr>
            <w:r>
              <w:rPr>
                <w:rFonts w:hint="eastAsia"/>
                <w:color w:val="auto"/>
                <w:sz w:val="21"/>
                <w:szCs w:val="21"/>
              </w:rPr>
              <w:t>监测项目</w:t>
            </w:r>
          </w:p>
        </w:tc>
        <w:tc>
          <w:tcPr>
            <w:tcW w:w="1829" w:type="dxa"/>
            <w:tcBorders>
              <w:top w:val="single" w:color="auto" w:sz="4" w:space="0"/>
              <w:left w:val="single" w:color="auto" w:sz="4" w:space="0"/>
              <w:bottom w:val="single" w:color="auto" w:sz="4" w:space="0"/>
              <w:right w:val="single" w:color="auto" w:sz="4" w:space="0"/>
            </w:tcBorders>
            <w:vAlign w:val="center"/>
          </w:tcPr>
          <w:p>
            <w:pPr>
              <w:pStyle w:val="8"/>
              <w:snapToGrid w:val="0"/>
              <w:spacing w:after="0" w:line="240" w:lineRule="auto"/>
              <w:ind w:firstLine="0" w:firstLineChars="0"/>
              <w:jc w:val="center"/>
              <w:rPr>
                <w:color w:val="auto"/>
                <w:sz w:val="21"/>
                <w:szCs w:val="21"/>
              </w:rPr>
            </w:pPr>
            <w:r>
              <w:rPr>
                <w:rFonts w:hint="eastAsia"/>
                <w:color w:val="auto"/>
                <w:sz w:val="21"/>
                <w:szCs w:val="21"/>
              </w:rPr>
              <w:t>监测频次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786" w:type="dxa"/>
            <w:tcBorders>
              <w:top w:val="single" w:color="auto" w:sz="4" w:space="0"/>
              <w:left w:val="single" w:color="auto" w:sz="4" w:space="0"/>
              <w:bottom w:val="single" w:color="auto" w:sz="4" w:space="0"/>
              <w:right w:val="single" w:color="auto" w:sz="4" w:space="0"/>
            </w:tcBorders>
            <w:vAlign w:val="center"/>
          </w:tcPr>
          <w:p>
            <w:pPr>
              <w:pStyle w:val="8"/>
              <w:snapToGrid w:val="0"/>
              <w:spacing w:after="0" w:line="240" w:lineRule="auto"/>
              <w:ind w:firstLine="0" w:firstLineChars="0"/>
              <w:jc w:val="center"/>
              <w:rPr>
                <w:color w:val="auto"/>
                <w:sz w:val="21"/>
                <w:szCs w:val="21"/>
              </w:rPr>
            </w:pPr>
            <w:r>
              <w:rPr>
                <w:rFonts w:hint="eastAsia"/>
                <w:color w:val="auto"/>
                <w:sz w:val="21"/>
                <w:szCs w:val="21"/>
              </w:rPr>
              <w:t>1#</w:t>
            </w:r>
          </w:p>
        </w:tc>
        <w:tc>
          <w:tcPr>
            <w:tcW w:w="2207"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spacing w:line="240" w:lineRule="auto"/>
              <w:ind w:firstLine="0" w:firstLineChars="0"/>
              <w:jc w:val="center"/>
              <w:rPr>
                <w:color w:val="auto"/>
                <w:sz w:val="21"/>
                <w:szCs w:val="21"/>
              </w:rPr>
            </w:pPr>
            <w:r>
              <w:rPr>
                <w:rFonts w:hint="eastAsia"/>
                <w:color w:val="auto"/>
                <w:sz w:val="21"/>
                <w:szCs w:val="21"/>
              </w:rPr>
              <w:t>项目东面外</w:t>
            </w:r>
            <w:r>
              <w:rPr>
                <w:color w:val="auto"/>
                <w:sz w:val="21"/>
                <w:szCs w:val="21"/>
              </w:rPr>
              <w:t>1</w:t>
            </w:r>
            <w:r>
              <w:rPr>
                <w:rFonts w:hint="eastAsia"/>
                <w:color w:val="auto"/>
                <w:sz w:val="21"/>
                <w:szCs w:val="21"/>
              </w:rPr>
              <w:t>米处</w:t>
            </w:r>
          </w:p>
        </w:tc>
        <w:tc>
          <w:tcPr>
            <w:tcW w:w="2700" w:type="dxa"/>
            <w:vMerge w:val="restart"/>
            <w:tcBorders>
              <w:top w:val="single" w:color="auto" w:sz="4" w:space="0"/>
              <w:left w:val="single" w:color="auto" w:sz="4" w:space="0"/>
              <w:right w:val="single" w:color="auto" w:sz="4" w:space="0"/>
            </w:tcBorders>
            <w:vAlign w:val="center"/>
          </w:tcPr>
          <w:p>
            <w:pPr>
              <w:pStyle w:val="8"/>
              <w:snapToGrid w:val="0"/>
              <w:spacing w:after="0" w:line="240" w:lineRule="auto"/>
              <w:ind w:firstLine="0" w:firstLineChars="0"/>
              <w:jc w:val="center"/>
              <w:rPr>
                <w:color w:val="auto"/>
                <w:sz w:val="21"/>
                <w:szCs w:val="21"/>
              </w:rPr>
            </w:pPr>
            <w:r>
              <w:rPr>
                <w:rFonts w:hint="eastAsia"/>
                <w:color w:val="auto"/>
                <w:sz w:val="21"/>
                <w:szCs w:val="21"/>
              </w:rPr>
              <w:t>等效连续</w:t>
            </w:r>
            <w:r>
              <w:rPr>
                <w:color w:val="auto"/>
                <w:sz w:val="21"/>
                <w:szCs w:val="21"/>
              </w:rPr>
              <w:t>A</w:t>
            </w:r>
            <w:r>
              <w:rPr>
                <w:rFonts w:hint="eastAsia"/>
                <w:color w:val="auto"/>
                <w:sz w:val="21"/>
                <w:szCs w:val="21"/>
              </w:rPr>
              <w:t>声级</w:t>
            </w:r>
            <w:r>
              <w:rPr>
                <w:color w:val="auto"/>
                <w:sz w:val="21"/>
                <w:szCs w:val="21"/>
              </w:rPr>
              <w:t>Leq (A)</w:t>
            </w:r>
          </w:p>
        </w:tc>
        <w:tc>
          <w:tcPr>
            <w:tcW w:w="1829" w:type="dxa"/>
            <w:vMerge w:val="restart"/>
            <w:tcBorders>
              <w:top w:val="single" w:color="auto" w:sz="4" w:space="0"/>
              <w:left w:val="single" w:color="auto" w:sz="4" w:space="0"/>
              <w:right w:val="single" w:color="auto" w:sz="4" w:space="0"/>
            </w:tcBorders>
            <w:vAlign w:val="center"/>
          </w:tcPr>
          <w:p>
            <w:pPr>
              <w:pStyle w:val="8"/>
              <w:snapToGrid w:val="0"/>
              <w:spacing w:after="0" w:line="240" w:lineRule="auto"/>
              <w:ind w:firstLine="0" w:firstLineChars="0"/>
              <w:jc w:val="center"/>
              <w:rPr>
                <w:color w:val="auto"/>
                <w:sz w:val="21"/>
                <w:szCs w:val="21"/>
              </w:rPr>
            </w:pPr>
            <w:r>
              <w:rPr>
                <w:rFonts w:hint="eastAsia"/>
                <w:color w:val="auto"/>
                <w:sz w:val="21"/>
                <w:szCs w:val="21"/>
              </w:rPr>
              <w:t>连续监测</w:t>
            </w:r>
            <w:r>
              <w:rPr>
                <w:color w:val="auto"/>
                <w:sz w:val="21"/>
                <w:szCs w:val="21"/>
              </w:rPr>
              <w:t>2</w:t>
            </w:r>
            <w:r>
              <w:rPr>
                <w:rFonts w:hint="eastAsia"/>
                <w:color w:val="auto"/>
                <w:sz w:val="21"/>
                <w:szCs w:val="21"/>
              </w:rPr>
              <w:t>天，每天昼、夜各监测</w:t>
            </w:r>
            <w:r>
              <w:rPr>
                <w:color w:val="auto"/>
                <w:sz w:val="21"/>
                <w:szCs w:val="21"/>
              </w:rPr>
              <w:t>1</w:t>
            </w:r>
            <w:r>
              <w:rPr>
                <w:rFonts w:hint="eastAsia"/>
                <w:color w:val="auto"/>
                <w:sz w:val="21"/>
                <w:szCs w:val="21"/>
              </w:rPr>
              <w:t>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786"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color w:val="auto"/>
                <w:sz w:val="21"/>
                <w:szCs w:val="21"/>
              </w:rPr>
            </w:pPr>
            <w:r>
              <w:rPr>
                <w:rFonts w:hint="eastAsia"/>
                <w:color w:val="auto"/>
                <w:sz w:val="21"/>
                <w:szCs w:val="21"/>
              </w:rPr>
              <w:t>2#</w:t>
            </w:r>
          </w:p>
        </w:tc>
        <w:tc>
          <w:tcPr>
            <w:tcW w:w="2207"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spacing w:line="240" w:lineRule="auto"/>
              <w:ind w:firstLine="0" w:firstLineChars="0"/>
              <w:jc w:val="center"/>
              <w:rPr>
                <w:color w:val="auto"/>
                <w:sz w:val="21"/>
                <w:szCs w:val="21"/>
              </w:rPr>
            </w:pPr>
            <w:r>
              <w:rPr>
                <w:rFonts w:hint="eastAsia"/>
                <w:color w:val="auto"/>
                <w:sz w:val="21"/>
                <w:szCs w:val="21"/>
              </w:rPr>
              <w:t>项目南面外</w:t>
            </w:r>
            <w:r>
              <w:rPr>
                <w:color w:val="auto"/>
                <w:sz w:val="21"/>
                <w:szCs w:val="21"/>
              </w:rPr>
              <w:t>1</w:t>
            </w:r>
            <w:r>
              <w:rPr>
                <w:rFonts w:hint="eastAsia"/>
                <w:color w:val="auto"/>
                <w:sz w:val="21"/>
                <w:szCs w:val="21"/>
              </w:rPr>
              <w:t>米处</w:t>
            </w:r>
          </w:p>
        </w:tc>
        <w:tc>
          <w:tcPr>
            <w:tcW w:w="2700" w:type="dxa"/>
            <w:vMerge w:val="continue"/>
            <w:tcBorders>
              <w:left w:val="single" w:color="auto" w:sz="4" w:space="0"/>
              <w:right w:val="single" w:color="auto" w:sz="4" w:space="0"/>
            </w:tcBorders>
            <w:vAlign w:val="center"/>
          </w:tcPr>
          <w:p>
            <w:pPr>
              <w:widowControl/>
              <w:snapToGrid w:val="0"/>
              <w:spacing w:line="240" w:lineRule="auto"/>
              <w:ind w:firstLine="0" w:firstLineChars="0"/>
              <w:jc w:val="left"/>
              <w:rPr>
                <w:color w:val="auto"/>
                <w:sz w:val="21"/>
                <w:szCs w:val="21"/>
              </w:rPr>
            </w:pPr>
          </w:p>
        </w:tc>
        <w:tc>
          <w:tcPr>
            <w:tcW w:w="1829" w:type="dxa"/>
            <w:vMerge w:val="continue"/>
            <w:tcBorders>
              <w:left w:val="single" w:color="auto" w:sz="4" w:space="0"/>
              <w:right w:val="single" w:color="auto" w:sz="4" w:space="0"/>
            </w:tcBorders>
            <w:vAlign w:val="center"/>
          </w:tcPr>
          <w:p>
            <w:pPr>
              <w:widowControl/>
              <w:snapToGrid w:val="0"/>
              <w:spacing w:line="240" w:lineRule="auto"/>
              <w:ind w:firstLine="0" w:firstLineChars="0"/>
              <w:jc w:val="left"/>
              <w:rPr>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786"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color w:val="auto"/>
                <w:sz w:val="21"/>
                <w:szCs w:val="21"/>
              </w:rPr>
            </w:pPr>
            <w:r>
              <w:rPr>
                <w:rFonts w:hint="eastAsia"/>
                <w:color w:val="auto"/>
                <w:sz w:val="21"/>
                <w:szCs w:val="21"/>
              </w:rPr>
              <w:t>3#</w:t>
            </w:r>
          </w:p>
        </w:tc>
        <w:tc>
          <w:tcPr>
            <w:tcW w:w="2207"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spacing w:line="240" w:lineRule="auto"/>
              <w:ind w:firstLine="0" w:firstLineChars="0"/>
              <w:jc w:val="center"/>
              <w:rPr>
                <w:color w:val="auto"/>
                <w:sz w:val="21"/>
                <w:szCs w:val="21"/>
              </w:rPr>
            </w:pPr>
            <w:r>
              <w:rPr>
                <w:rFonts w:hint="eastAsia"/>
                <w:color w:val="auto"/>
                <w:sz w:val="21"/>
                <w:szCs w:val="21"/>
              </w:rPr>
              <w:t>项目西面外</w:t>
            </w:r>
            <w:r>
              <w:rPr>
                <w:color w:val="auto"/>
                <w:sz w:val="21"/>
                <w:szCs w:val="21"/>
              </w:rPr>
              <w:t>1</w:t>
            </w:r>
            <w:r>
              <w:rPr>
                <w:rFonts w:hint="eastAsia"/>
                <w:color w:val="auto"/>
                <w:sz w:val="21"/>
                <w:szCs w:val="21"/>
              </w:rPr>
              <w:t>米处</w:t>
            </w:r>
          </w:p>
        </w:tc>
        <w:tc>
          <w:tcPr>
            <w:tcW w:w="2700" w:type="dxa"/>
            <w:vMerge w:val="continue"/>
            <w:tcBorders>
              <w:left w:val="single" w:color="auto" w:sz="4" w:space="0"/>
              <w:right w:val="single" w:color="auto" w:sz="4" w:space="0"/>
            </w:tcBorders>
            <w:vAlign w:val="center"/>
          </w:tcPr>
          <w:p>
            <w:pPr>
              <w:widowControl/>
              <w:snapToGrid w:val="0"/>
              <w:spacing w:line="240" w:lineRule="auto"/>
              <w:ind w:firstLine="0" w:firstLineChars="0"/>
              <w:jc w:val="left"/>
              <w:rPr>
                <w:color w:val="auto"/>
                <w:sz w:val="21"/>
                <w:szCs w:val="21"/>
              </w:rPr>
            </w:pPr>
          </w:p>
        </w:tc>
        <w:tc>
          <w:tcPr>
            <w:tcW w:w="1829" w:type="dxa"/>
            <w:vMerge w:val="continue"/>
            <w:tcBorders>
              <w:left w:val="single" w:color="auto" w:sz="4" w:space="0"/>
              <w:right w:val="single" w:color="auto" w:sz="4" w:space="0"/>
            </w:tcBorders>
            <w:vAlign w:val="center"/>
          </w:tcPr>
          <w:p>
            <w:pPr>
              <w:widowControl/>
              <w:snapToGrid w:val="0"/>
              <w:spacing w:line="240" w:lineRule="auto"/>
              <w:ind w:firstLine="0" w:firstLineChars="0"/>
              <w:jc w:val="left"/>
              <w:rPr>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786"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color w:val="auto"/>
                <w:sz w:val="21"/>
                <w:szCs w:val="21"/>
              </w:rPr>
            </w:pPr>
            <w:r>
              <w:rPr>
                <w:rFonts w:hint="eastAsia"/>
                <w:color w:val="auto"/>
                <w:sz w:val="21"/>
                <w:szCs w:val="21"/>
              </w:rPr>
              <w:t>4#</w:t>
            </w:r>
          </w:p>
        </w:tc>
        <w:tc>
          <w:tcPr>
            <w:tcW w:w="2207"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spacing w:line="240" w:lineRule="auto"/>
              <w:ind w:firstLine="0" w:firstLineChars="0"/>
              <w:jc w:val="center"/>
              <w:rPr>
                <w:color w:val="auto"/>
                <w:sz w:val="21"/>
                <w:szCs w:val="21"/>
              </w:rPr>
            </w:pPr>
            <w:r>
              <w:rPr>
                <w:rFonts w:hint="eastAsia"/>
                <w:color w:val="auto"/>
                <w:sz w:val="21"/>
                <w:szCs w:val="21"/>
              </w:rPr>
              <w:t>项目北面外</w:t>
            </w:r>
            <w:r>
              <w:rPr>
                <w:color w:val="auto"/>
                <w:sz w:val="21"/>
                <w:szCs w:val="21"/>
              </w:rPr>
              <w:t>1</w:t>
            </w:r>
            <w:r>
              <w:rPr>
                <w:rFonts w:hint="eastAsia"/>
                <w:color w:val="auto"/>
                <w:sz w:val="21"/>
                <w:szCs w:val="21"/>
              </w:rPr>
              <w:t>米处</w:t>
            </w:r>
          </w:p>
        </w:tc>
        <w:tc>
          <w:tcPr>
            <w:tcW w:w="2700" w:type="dxa"/>
            <w:vMerge w:val="continue"/>
            <w:tcBorders>
              <w:left w:val="single" w:color="auto" w:sz="4" w:space="0"/>
              <w:right w:val="single" w:color="auto" w:sz="4" w:space="0"/>
            </w:tcBorders>
            <w:vAlign w:val="center"/>
          </w:tcPr>
          <w:p>
            <w:pPr>
              <w:widowControl/>
              <w:snapToGrid w:val="0"/>
              <w:spacing w:line="240" w:lineRule="auto"/>
              <w:ind w:firstLine="0" w:firstLineChars="0"/>
              <w:jc w:val="left"/>
              <w:rPr>
                <w:color w:val="auto"/>
                <w:sz w:val="21"/>
                <w:szCs w:val="21"/>
              </w:rPr>
            </w:pPr>
          </w:p>
        </w:tc>
        <w:tc>
          <w:tcPr>
            <w:tcW w:w="1829" w:type="dxa"/>
            <w:vMerge w:val="continue"/>
            <w:tcBorders>
              <w:left w:val="single" w:color="auto" w:sz="4" w:space="0"/>
              <w:right w:val="single" w:color="auto" w:sz="4" w:space="0"/>
            </w:tcBorders>
            <w:vAlign w:val="center"/>
          </w:tcPr>
          <w:p>
            <w:pPr>
              <w:widowControl/>
              <w:snapToGrid w:val="0"/>
              <w:spacing w:line="240" w:lineRule="auto"/>
              <w:ind w:firstLine="0" w:firstLineChars="0"/>
              <w:jc w:val="left"/>
              <w:rPr>
                <w:color w:val="auto"/>
                <w:sz w:val="21"/>
                <w:szCs w:val="21"/>
              </w:rPr>
            </w:pPr>
          </w:p>
        </w:tc>
      </w:tr>
    </w:tbl>
    <w:p>
      <w:pPr>
        <w:pStyle w:val="2"/>
        <w:rPr>
          <w:color w:val="auto"/>
        </w:rPr>
      </w:pPr>
      <w:bookmarkStart w:id="72" w:name="_Toc10760"/>
      <w:r>
        <w:rPr>
          <w:rFonts w:hint="eastAsia"/>
          <w:color w:val="auto"/>
        </w:rPr>
        <w:t>质量保证和质量控制</w:t>
      </w:r>
      <w:bookmarkEnd w:id="72"/>
    </w:p>
    <w:p>
      <w:pPr>
        <w:pStyle w:val="3"/>
        <w:rPr>
          <w:color w:val="auto"/>
        </w:rPr>
      </w:pPr>
      <w:bookmarkStart w:id="73" w:name="_Toc12885"/>
      <w:r>
        <w:rPr>
          <w:rFonts w:hint="eastAsia"/>
          <w:color w:val="auto"/>
        </w:rPr>
        <w:t>监测分析方法</w:t>
      </w:r>
      <w:bookmarkEnd w:id="73"/>
    </w:p>
    <w:p>
      <w:pPr>
        <w:pStyle w:val="37"/>
        <w:snapToGrid w:val="0"/>
        <w:rPr>
          <w:color w:val="auto"/>
        </w:rPr>
      </w:pPr>
      <w:bookmarkStart w:id="74" w:name="_Toc73538411"/>
      <w:r>
        <w:rPr>
          <w:rFonts w:hint="eastAsia"/>
          <w:color w:val="auto"/>
        </w:rPr>
        <w:t xml:space="preserve">表 </w:t>
      </w:r>
      <w:r>
        <w:rPr>
          <w:color w:val="auto"/>
        </w:rPr>
        <w:fldChar w:fldCharType="begin"/>
      </w:r>
      <w:r>
        <w:rPr>
          <w:color w:val="auto"/>
        </w:rPr>
        <w:instrText xml:space="preserve"> </w:instrText>
      </w:r>
      <w:r>
        <w:rPr>
          <w:rFonts w:hint="eastAsia"/>
          <w:color w:val="auto"/>
        </w:rPr>
        <w:instrText xml:space="preserve">STYLEREF 2 \s</w:instrText>
      </w:r>
      <w:r>
        <w:rPr>
          <w:color w:val="auto"/>
        </w:rPr>
        <w:instrText xml:space="preserve"> </w:instrText>
      </w:r>
      <w:r>
        <w:rPr>
          <w:color w:val="auto"/>
        </w:rPr>
        <w:fldChar w:fldCharType="separate"/>
      </w:r>
      <w:r>
        <w:rPr>
          <w:color w:val="auto"/>
        </w:rPr>
        <w:t>8.1</w:t>
      </w:r>
      <w:r>
        <w:rPr>
          <w:color w:val="auto"/>
        </w:rPr>
        <w:fldChar w:fldCharType="end"/>
      </w:r>
      <w:r>
        <w:rPr>
          <w:color w:val="auto"/>
        </w:rPr>
        <w:noBreakHyphen/>
      </w:r>
      <w:r>
        <w:rPr>
          <w:color w:val="auto"/>
        </w:rPr>
        <w:fldChar w:fldCharType="begin"/>
      </w:r>
      <w:r>
        <w:rPr>
          <w:color w:val="auto"/>
        </w:rPr>
        <w:instrText xml:space="preserve"> </w:instrText>
      </w:r>
      <w:r>
        <w:rPr>
          <w:rFonts w:hint="eastAsia"/>
          <w:color w:val="auto"/>
        </w:rPr>
        <w:instrText xml:space="preserve">SEQ 表 \* ARABIC \s 2</w:instrText>
      </w:r>
      <w:r>
        <w:rPr>
          <w:color w:val="auto"/>
        </w:rPr>
        <w:instrText xml:space="preserve"> </w:instrText>
      </w:r>
      <w:r>
        <w:rPr>
          <w:color w:val="auto"/>
        </w:rPr>
        <w:fldChar w:fldCharType="separate"/>
      </w:r>
      <w:r>
        <w:rPr>
          <w:color w:val="auto"/>
        </w:rPr>
        <w:t>1</w:t>
      </w:r>
      <w:r>
        <w:rPr>
          <w:color w:val="auto"/>
        </w:rPr>
        <w:fldChar w:fldCharType="end"/>
      </w:r>
      <w:r>
        <w:rPr>
          <w:rFonts w:hint="eastAsia"/>
          <w:color w:val="auto"/>
        </w:rPr>
        <w:t>监测项目及分析方法</w:t>
      </w:r>
    </w:p>
    <w:tbl>
      <w:tblPr>
        <w:tblStyle w:val="24"/>
        <w:tblW w:w="8795" w:type="dxa"/>
        <w:jc w:val="center"/>
        <w:tblInd w:w="0" w:type="dxa"/>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1281"/>
        <w:gridCol w:w="1711"/>
        <w:gridCol w:w="3196"/>
        <w:gridCol w:w="1359"/>
        <w:gridCol w:w="1248"/>
      </w:tblGrid>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567" w:hRule="atLeast"/>
          <w:jc w:val="center"/>
        </w:trPr>
        <w:tc>
          <w:tcPr>
            <w:tcW w:w="1281" w:type="dxa"/>
            <w:tcBorders>
              <w:top w:val="single" w:color="auto" w:sz="4" w:space="0"/>
              <w:left w:val="single" w:color="auto" w:sz="4" w:space="0"/>
              <w:bottom w:val="single" w:color="auto" w:sz="6" w:space="0"/>
              <w:right w:val="single" w:color="auto" w:sz="6" w:space="0"/>
            </w:tcBorders>
            <w:vAlign w:val="center"/>
          </w:tcPr>
          <w:p>
            <w:pPr>
              <w:autoSpaceDE w:val="0"/>
              <w:spacing w:line="300" w:lineRule="exact"/>
              <w:ind w:firstLine="0" w:firstLineChars="0"/>
              <w:rPr>
                <w:rFonts w:cs="Times New Roman"/>
                <w:b/>
                <w:bCs/>
                <w:color w:val="auto"/>
                <w:kern w:val="0"/>
                <w:szCs w:val="24"/>
              </w:rPr>
            </w:pPr>
            <w:r>
              <w:rPr>
                <w:rFonts w:ascii="宋体" w:hAnsi="宋体" w:cs="Times New Roman"/>
                <w:b/>
                <w:bCs/>
                <w:color w:val="auto"/>
                <w:kern w:val="0"/>
                <w:szCs w:val="24"/>
              </w:rPr>
              <w:t>检测项目</w:t>
            </w:r>
          </w:p>
        </w:tc>
        <w:tc>
          <w:tcPr>
            <w:tcW w:w="1711" w:type="dxa"/>
            <w:tcBorders>
              <w:top w:val="single" w:color="auto" w:sz="4" w:space="0"/>
              <w:left w:val="single" w:color="auto" w:sz="6" w:space="0"/>
              <w:bottom w:val="single" w:color="auto" w:sz="6" w:space="0"/>
              <w:right w:val="single" w:color="auto" w:sz="6" w:space="0"/>
            </w:tcBorders>
            <w:vAlign w:val="center"/>
          </w:tcPr>
          <w:p>
            <w:pPr>
              <w:autoSpaceDE w:val="0"/>
              <w:spacing w:line="300" w:lineRule="exact"/>
              <w:ind w:firstLine="0" w:firstLineChars="0"/>
              <w:jc w:val="center"/>
              <w:rPr>
                <w:rFonts w:cs="Times New Roman"/>
                <w:b/>
                <w:bCs/>
                <w:color w:val="auto"/>
                <w:kern w:val="0"/>
                <w:szCs w:val="24"/>
              </w:rPr>
            </w:pPr>
            <w:r>
              <w:rPr>
                <w:rFonts w:ascii="宋体" w:hAnsi="宋体" w:cs="Times New Roman"/>
                <w:b/>
                <w:bCs/>
                <w:color w:val="auto"/>
                <w:kern w:val="0"/>
                <w:szCs w:val="24"/>
              </w:rPr>
              <w:t>方法编号</w:t>
            </w:r>
            <w:r>
              <w:rPr>
                <w:rFonts w:cs="Times New Roman"/>
                <w:b/>
                <w:bCs/>
                <w:color w:val="auto"/>
                <w:kern w:val="0"/>
                <w:szCs w:val="24"/>
              </w:rPr>
              <w:t>(</w:t>
            </w:r>
            <w:r>
              <w:rPr>
                <w:rFonts w:ascii="宋体" w:hAnsi="宋体" w:cs="Times New Roman"/>
                <w:b/>
                <w:bCs/>
                <w:color w:val="auto"/>
                <w:kern w:val="0"/>
                <w:szCs w:val="24"/>
              </w:rPr>
              <w:t>含年号</w:t>
            </w:r>
            <w:r>
              <w:rPr>
                <w:rFonts w:cs="Times New Roman"/>
                <w:b/>
                <w:bCs/>
                <w:color w:val="auto"/>
                <w:kern w:val="0"/>
                <w:szCs w:val="24"/>
              </w:rPr>
              <w:t>)</w:t>
            </w:r>
          </w:p>
        </w:tc>
        <w:tc>
          <w:tcPr>
            <w:tcW w:w="3196" w:type="dxa"/>
            <w:tcBorders>
              <w:top w:val="single" w:color="auto" w:sz="4" w:space="0"/>
              <w:left w:val="single" w:color="auto" w:sz="6" w:space="0"/>
              <w:bottom w:val="single" w:color="auto" w:sz="6" w:space="0"/>
              <w:right w:val="single" w:color="auto" w:sz="6" w:space="0"/>
            </w:tcBorders>
            <w:vAlign w:val="center"/>
          </w:tcPr>
          <w:p>
            <w:pPr>
              <w:autoSpaceDE w:val="0"/>
              <w:spacing w:line="300" w:lineRule="exact"/>
              <w:ind w:firstLine="0" w:firstLineChars="0"/>
              <w:jc w:val="center"/>
              <w:rPr>
                <w:rFonts w:cs="Times New Roman"/>
                <w:b/>
                <w:bCs/>
                <w:color w:val="auto"/>
                <w:kern w:val="0"/>
                <w:szCs w:val="24"/>
              </w:rPr>
            </w:pPr>
            <w:r>
              <w:rPr>
                <w:rFonts w:ascii="宋体" w:hAnsi="宋体" w:cs="Times New Roman"/>
                <w:b/>
                <w:bCs/>
                <w:color w:val="auto"/>
                <w:kern w:val="0"/>
                <w:szCs w:val="24"/>
              </w:rPr>
              <w:t>检测依据</w:t>
            </w:r>
          </w:p>
        </w:tc>
        <w:tc>
          <w:tcPr>
            <w:tcW w:w="1359" w:type="dxa"/>
            <w:tcBorders>
              <w:top w:val="single" w:color="auto" w:sz="4" w:space="0"/>
              <w:left w:val="single" w:color="auto" w:sz="6" w:space="0"/>
              <w:bottom w:val="single" w:color="auto" w:sz="6" w:space="0"/>
              <w:right w:val="single" w:color="auto" w:sz="6" w:space="0"/>
            </w:tcBorders>
            <w:vAlign w:val="center"/>
          </w:tcPr>
          <w:p>
            <w:pPr>
              <w:autoSpaceDE w:val="0"/>
              <w:spacing w:line="300" w:lineRule="exact"/>
              <w:ind w:firstLine="0" w:firstLineChars="0"/>
              <w:jc w:val="center"/>
              <w:rPr>
                <w:rFonts w:cs="Times New Roman"/>
                <w:b/>
                <w:bCs/>
                <w:color w:val="auto"/>
                <w:kern w:val="0"/>
                <w:szCs w:val="24"/>
              </w:rPr>
            </w:pPr>
            <w:r>
              <w:rPr>
                <w:rFonts w:ascii="宋体" w:hAnsi="宋体" w:cs="Times New Roman"/>
                <w:b/>
                <w:bCs/>
                <w:color w:val="auto"/>
                <w:kern w:val="0"/>
                <w:szCs w:val="24"/>
              </w:rPr>
              <w:t>设备名称及型号</w:t>
            </w:r>
          </w:p>
        </w:tc>
        <w:tc>
          <w:tcPr>
            <w:tcW w:w="1248" w:type="dxa"/>
            <w:tcBorders>
              <w:top w:val="single" w:color="auto" w:sz="4" w:space="0"/>
              <w:left w:val="single" w:color="auto" w:sz="6" w:space="0"/>
              <w:bottom w:val="single" w:color="auto" w:sz="6" w:space="0"/>
              <w:right w:val="single" w:color="auto" w:sz="4" w:space="0"/>
            </w:tcBorders>
            <w:vAlign w:val="center"/>
          </w:tcPr>
          <w:p>
            <w:pPr>
              <w:autoSpaceDE w:val="0"/>
              <w:spacing w:line="300" w:lineRule="exact"/>
              <w:ind w:firstLine="0" w:firstLineChars="0"/>
              <w:jc w:val="center"/>
              <w:rPr>
                <w:rFonts w:cs="Times New Roman"/>
                <w:b/>
                <w:bCs/>
                <w:color w:val="auto"/>
                <w:kern w:val="0"/>
                <w:szCs w:val="24"/>
              </w:rPr>
            </w:pPr>
            <w:r>
              <w:rPr>
                <w:rFonts w:ascii="宋体" w:hAnsi="宋体" w:cs="Times New Roman"/>
                <w:b/>
                <w:bCs/>
                <w:color w:val="auto"/>
                <w:kern w:val="0"/>
                <w:szCs w:val="24"/>
              </w:rPr>
              <w:t>检出限</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581" w:hRule="atLeast"/>
          <w:jc w:val="center"/>
        </w:trPr>
        <w:tc>
          <w:tcPr>
            <w:tcW w:w="1281" w:type="dxa"/>
            <w:tcBorders>
              <w:top w:val="single" w:color="auto" w:sz="6" w:space="0"/>
              <w:left w:val="single" w:color="auto" w:sz="4"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ascii="宋体" w:hAnsi="宋体" w:cs="Times New Roman"/>
                <w:color w:val="auto"/>
                <w:kern w:val="0"/>
                <w:sz w:val="21"/>
                <w:szCs w:val="21"/>
              </w:rPr>
              <w:t>噪声</w:t>
            </w:r>
          </w:p>
        </w:tc>
        <w:tc>
          <w:tcPr>
            <w:tcW w:w="1711" w:type="dxa"/>
            <w:tcBorders>
              <w:top w:val="single" w:color="auto" w:sz="6" w:space="0"/>
              <w:left w:val="single" w:color="auto" w:sz="6"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cs="Times New Roman"/>
                <w:color w:val="auto"/>
                <w:kern w:val="0"/>
                <w:sz w:val="21"/>
                <w:szCs w:val="21"/>
              </w:rPr>
              <w:t>GB12348-2008</w:t>
            </w:r>
          </w:p>
        </w:tc>
        <w:tc>
          <w:tcPr>
            <w:tcW w:w="3196" w:type="dxa"/>
            <w:tcBorders>
              <w:top w:val="single" w:color="auto" w:sz="6" w:space="0"/>
              <w:left w:val="single" w:color="auto" w:sz="6"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ascii="宋体" w:hAnsi="宋体" w:cs="Times New Roman"/>
                <w:color w:val="auto"/>
                <w:kern w:val="0"/>
                <w:sz w:val="21"/>
                <w:szCs w:val="21"/>
              </w:rPr>
              <w:t>《工业企业厂界环境噪声排放标准》</w:t>
            </w:r>
          </w:p>
        </w:tc>
        <w:tc>
          <w:tcPr>
            <w:tcW w:w="1359" w:type="dxa"/>
            <w:tcBorders>
              <w:top w:val="single" w:color="auto" w:sz="6" w:space="0"/>
              <w:left w:val="single" w:color="auto" w:sz="6"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ascii="宋体" w:hAnsi="宋体" w:cs="Times New Roman"/>
                <w:color w:val="auto"/>
                <w:kern w:val="0"/>
                <w:sz w:val="21"/>
                <w:szCs w:val="21"/>
              </w:rPr>
              <w:t>多功能声级计</w:t>
            </w:r>
            <w:r>
              <w:rPr>
                <w:rFonts w:cs="Times New Roman"/>
                <w:color w:val="auto"/>
                <w:kern w:val="0"/>
                <w:sz w:val="21"/>
                <w:szCs w:val="21"/>
              </w:rPr>
              <w:t>AWA5688</w:t>
            </w:r>
          </w:p>
        </w:tc>
        <w:tc>
          <w:tcPr>
            <w:tcW w:w="1248" w:type="dxa"/>
            <w:tcBorders>
              <w:top w:val="single" w:color="auto" w:sz="6" w:space="0"/>
              <w:left w:val="single" w:color="auto" w:sz="6" w:space="0"/>
              <w:bottom w:val="single" w:color="auto" w:sz="6" w:space="0"/>
              <w:right w:val="single" w:color="auto" w:sz="4" w:space="0"/>
            </w:tcBorders>
            <w:vAlign w:val="center"/>
          </w:tcPr>
          <w:p>
            <w:pPr>
              <w:autoSpaceDE w:val="0"/>
              <w:spacing w:line="280" w:lineRule="exact"/>
              <w:ind w:firstLine="0" w:firstLineChars="0"/>
              <w:jc w:val="center"/>
              <w:rPr>
                <w:rFonts w:cs="Times New Roman"/>
                <w:bCs/>
                <w:color w:val="auto"/>
                <w:sz w:val="21"/>
                <w:szCs w:val="21"/>
              </w:rPr>
            </w:pPr>
            <w:r>
              <w:rPr>
                <w:rFonts w:cs="Times New Roman"/>
                <w:color w:val="auto"/>
                <w:kern w:val="0"/>
                <w:sz w:val="21"/>
                <w:szCs w:val="21"/>
              </w:rPr>
              <w:t>35dB(A)</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596" w:hRule="atLeast"/>
          <w:jc w:val="center"/>
        </w:trPr>
        <w:tc>
          <w:tcPr>
            <w:tcW w:w="1281" w:type="dxa"/>
            <w:tcBorders>
              <w:top w:val="single" w:color="auto" w:sz="6" w:space="0"/>
              <w:left w:val="single" w:color="auto" w:sz="4"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cs="Times New Roman"/>
                <w:color w:val="auto"/>
                <w:kern w:val="0"/>
                <w:sz w:val="21"/>
                <w:szCs w:val="21"/>
              </w:rPr>
              <w:t>pH</w:t>
            </w:r>
            <w:r>
              <w:rPr>
                <w:rFonts w:ascii="宋体" w:hAnsi="宋体" w:cs="Times New Roman"/>
                <w:color w:val="auto"/>
                <w:kern w:val="0"/>
                <w:sz w:val="21"/>
                <w:szCs w:val="21"/>
              </w:rPr>
              <w:t>值</w:t>
            </w:r>
          </w:p>
        </w:tc>
        <w:tc>
          <w:tcPr>
            <w:tcW w:w="1711" w:type="dxa"/>
            <w:tcBorders>
              <w:top w:val="single" w:color="auto" w:sz="6" w:space="0"/>
              <w:left w:val="single" w:color="auto" w:sz="6"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cs="Times New Roman"/>
                <w:color w:val="auto"/>
                <w:kern w:val="0"/>
                <w:sz w:val="21"/>
                <w:szCs w:val="21"/>
              </w:rPr>
              <w:t>HJ1147-2020</w:t>
            </w:r>
          </w:p>
        </w:tc>
        <w:tc>
          <w:tcPr>
            <w:tcW w:w="3196" w:type="dxa"/>
            <w:tcBorders>
              <w:top w:val="single" w:color="auto" w:sz="6" w:space="0"/>
              <w:left w:val="single" w:color="auto" w:sz="6"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ascii="宋体" w:hAnsi="宋体" w:cs="Times New Roman"/>
                <w:color w:val="auto"/>
                <w:kern w:val="0"/>
                <w:sz w:val="21"/>
                <w:szCs w:val="21"/>
              </w:rPr>
              <w:t>《水质</w:t>
            </w:r>
            <w:r>
              <w:rPr>
                <w:rFonts w:cs="Times New Roman"/>
                <w:color w:val="auto"/>
                <w:kern w:val="0"/>
                <w:sz w:val="21"/>
                <w:szCs w:val="21"/>
              </w:rPr>
              <w:t xml:space="preserve"> pH</w:t>
            </w:r>
            <w:r>
              <w:rPr>
                <w:rFonts w:ascii="宋体" w:hAnsi="宋体" w:cs="Times New Roman"/>
                <w:color w:val="auto"/>
                <w:kern w:val="0"/>
                <w:sz w:val="21"/>
                <w:szCs w:val="21"/>
              </w:rPr>
              <w:t>值的测定 电极法》</w:t>
            </w:r>
          </w:p>
        </w:tc>
        <w:tc>
          <w:tcPr>
            <w:tcW w:w="1359" w:type="dxa"/>
            <w:tcBorders>
              <w:top w:val="single" w:color="auto" w:sz="6" w:space="0"/>
              <w:left w:val="single" w:color="auto" w:sz="6"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cs="Times New Roman"/>
                <w:color w:val="auto"/>
                <w:kern w:val="0"/>
                <w:sz w:val="21"/>
                <w:szCs w:val="21"/>
              </w:rPr>
              <w:t>pH</w:t>
            </w:r>
            <w:r>
              <w:rPr>
                <w:rFonts w:ascii="宋体" w:hAnsi="宋体" w:cs="Times New Roman"/>
                <w:color w:val="auto"/>
                <w:kern w:val="0"/>
                <w:sz w:val="21"/>
                <w:szCs w:val="21"/>
              </w:rPr>
              <w:t>计</w:t>
            </w:r>
          </w:p>
        </w:tc>
        <w:tc>
          <w:tcPr>
            <w:tcW w:w="1248" w:type="dxa"/>
            <w:tcBorders>
              <w:top w:val="single" w:color="auto" w:sz="6" w:space="0"/>
              <w:left w:val="single" w:color="auto" w:sz="6" w:space="0"/>
              <w:bottom w:val="single" w:color="auto" w:sz="6" w:space="0"/>
              <w:right w:val="single" w:color="auto" w:sz="4" w:space="0"/>
            </w:tcBorders>
            <w:vAlign w:val="center"/>
          </w:tcPr>
          <w:p>
            <w:pPr>
              <w:autoSpaceDE w:val="0"/>
              <w:spacing w:line="280" w:lineRule="exact"/>
              <w:ind w:firstLine="0" w:firstLineChars="0"/>
              <w:jc w:val="center"/>
              <w:rPr>
                <w:rFonts w:cs="Times New Roman"/>
                <w:color w:val="auto"/>
                <w:sz w:val="21"/>
                <w:szCs w:val="21"/>
              </w:rPr>
            </w:pPr>
            <w:r>
              <w:rPr>
                <w:rFonts w:cs="Times New Roman"/>
                <w:color w:val="auto"/>
                <w:kern w:val="0"/>
                <w:sz w:val="21"/>
                <w:szCs w:val="21"/>
              </w:rPr>
              <w:t>0.01</w:t>
            </w:r>
            <w:r>
              <w:rPr>
                <w:rFonts w:ascii="宋体" w:hAnsi="宋体" w:cs="Times New Roman"/>
                <w:color w:val="auto"/>
                <w:kern w:val="0"/>
                <w:sz w:val="18"/>
                <w:szCs w:val="18"/>
              </w:rPr>
              <w:t>（无量纲）</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579" w:hRule="atLeast"/>
          <w:jc w:val="center"/>
        </w:trPr>
        <w:tc>
          <w:tcPr>
            <w:tcW w:w="1281" w:type="dxa"/>
            <w:tcBorders>
              <w:top w:val="single" w:color="auto" w:sz="6" w:space="0"/>
              <w:left w:val="single" w:color="auto" w:sz="4"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ascii="宋体" w:hAnsi="宋体" w:cs="Times New Roman"/>
                <w:color w:val="auto"/>
                <w:kern w:val="0"/>
                <w:sz w:val="21"/>
                <w:szCs w:val="21"/>
              </w:rPr>
              <w:t>水温</w:t>
            </w:r>
          </w:p>
        </w:tc>
        <w:tc>
          <w:tcPr>
            <w:tcW w:w="1711" w:type="dxa"/>
            <w:tcBorders>
              <w:top w:val="single" w:color="auto" w:sz="6" w:space="0"/>
              <w:left w:val="single" w:color="auto" w:sz="6"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cs="Times New Roman"/>
                <w:color w:val="auto"/>
                <w:kern w:val="0"/>
                <w:sz w:val="21"/>
                <w:szCs w:val="21"/>
              </w:rPr>
              <w:t>GB/T13195-1991</w:t>
            </w:r>
          </w:p>
        </w:tc>
        <w:tc>
          <w:tcPr>
            <w:tcW w:w="3196" w:type="dxa"/>
            <w:tcBorders>
              <w:top w:val="single" w:color="auto" w:sz="6" w:space="0"/>
              <w:left w:val="single" w:color="auto" w:sz="6"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ascii="宋体" w:hAnsi="宋体" w:cs="Times New Roman"/>
                <w:color w:val="auto"/>
                <w:kern w:val="0"/>
                <w:sz w:val="21"/>
                <w:szCs w:val="21"/>
              </w:rPr>
              <w:t>《水质</w:t>
            </w:r>
            <w:r>
              <w:rPr>
                <w:rFonts w:cs="Times New Roman"/>
                <w:color w:val="auto"/>
                <w:kern w:val="0"/>
                <w:sz w:val="21"/>
                <w:szCs w:val="21"/>
              </w:rPr>
              <w:t xml:space="preserve"> </w:t>
            </w:r>
            <w:r>
              <w:rPr>
                <w:rFonts w:ascii="宋体" w:hAnsi="宋体" w:cs="Times New Roman"/>
                <w:color w:val="auto"/>
                <w:kern w:val="0"/>
                <w:sz w:val="21"/>
                <w:szCs w:val="21"/>
              </w:rPr>
              <w:t>水温的测定</w:t>
            </w:r>
            <w:r>
              <w:rPr>
                <w:rFonts w:cs="Times New Roman"/>
                <w:color w:val="auto"/>
                <w:kern w:val="0"/>
                <w:sz w:val="21"/>
                <w:szCs w:val="21"/>
              </w:rPr>
              <w:t xml:space="preserve"> </w:t>
            </w:r>
            <w:r>
              <w:rPr>
                <w:rFonts w:ascii="宋体" w:hAnsi="宋体" w:cs="Times New Roman"/>
                <w:color w:val="auto"/>
                <w:kern w:val="0"/>
                <w:sz w:val="21"/>
                <w:szCs w:val="21"/>
              </w:rPr>
              <w:t>温度计或颠倒温度计测定法》</w:t>
            </w:r>
          </w:p>
        </w:tc>
        <w:tc>
          <w:tcPr>
            <w:tcW w:w="1359" w:type="dxa"/>
            <w:tcBorders>
              <w:top w:val="single" w:color="auto" w:sz="6" w:space="0"/>
              <w:left w:val="single" w:color="auto" w:sz="6"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ascii="宋体" w:hAnsi="宋体" w:cs="Times New Roman"/>
                <w:color w:val="auto"/>
                <w:kern w:val="0"/>
                <w:sz w:val="21"/>
                <w:szCs w:val="21"/>
              </w:rPr>
              <w:t>温度计</w:t>
            </w:r>
          </w:p>
        </w:tc>
        <w:tc>
          <w:tcPr>
            <w:tcW w:w="1248" w:type="dxa"/>
            <w:tcBorders>
              <w:top w:val="single" w:color="auto" w:sz="6" w:space="0"/>
              <w:left w:val="single" w:color="auto" w:sz="6" w:space="0"/>
              <w:bottom w:val="single" w:color="auto" w:sz="6" w:space="0"/>
              <w:right w:val="single" w:color="auto" w:sz="4" w:space="0"/>
            </w:tcBorders>
            <w:vAlign w:val="center"/>
          </w:tcPr>
          <w:p>
            <w:pPr>
              <w:autoSpaceDE w:val="0"/>
              <w:spacing w:line="280" w:lineRule="exact"/>
              <w:ind w:firstLine="0" w:firstLineChars="0"/>
              <w:jc w:val="center"/>
              <w:rPr>
                <w:rFonts w:cs="Times New Roman"/>
                <w:color w:val="auto"/>
                <w:kern w:val="0"/>
                <w:sz w:val="21"/>
                <w:szCs w:val="21"/>
              </w:rPr>
            </w:pPr>
            <w:r>
              <w:rPr>
                <w:rFonts w:cs="Times New Roman"/>
                <w:color w:val="auto"/>
                <w:kern w:val="0"/>
                <w:sz w:val="21"/>
                <w:szCs w:val="21"/>
              </w:rPr>
              <w:t>--</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536" w:hRule="atLeast"/>
          <w:jc w:val="center"/>
        </w:trPr>
        <w:tc>
          <w:tcPr>
            <w:tcW w:w="1281" w:type="dxa"/>
            <w:tcBorders>
              <w:top w:val="single" w:color="auto" w:sz="6" w:space="0"/>
              <w:left w:val="single" w:color="auto" w:sz="4"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ascii="宋体" w:hAnsi="宋体" w:cs="Times New Roman"/>
                <w:color w:val="auto"/>
                <w:kern w:val="0"/>
                <w:sz w:val="21"/>
                <w:szCs w:val="21"/>
              </w:rPr>
              <w:t>悬浮物</w:t>
            </w:r>
          </w:p>
        </w:tc>
        <w:tc>
          <w:tcPr>
            <w:tcW w:w="1711" w:type="dxa"/>
            <w:tcBorders>
              <w:top w:val="single" w:color="auto" w:sz="6" w:space="0"/>
              <w:left w:val="single" w:color="auto" w:sz="6"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cs="Times New Roman"/>
                <w:color w:val="auto"/>
                <w:kern w:val="0"/>
                <w:sz w:val="21"/>
                <w:szCs w:val="21"/>
              </w:rPr>
              <w:t>GB/T11901-1989</w:t>
            </w:r>
          </w:p>
        </w:tc>
        <w:tc>
          <w:tcPr>
            <w:tcW w:w="3196" w:type="dxa"/>
            <w:tcBorders>
              <w:top w:val="single" w:color="auto" w:sz="6" w:space="0"/>
              <w:left w:val="single" w:color="auto" w:sz="6"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ascii="宋体" w:hAnsi="宋体" w:cs="Times New Roman"/>
                <w:color w:val="auto"/>
                <w:kern w:val="0"/>
                <w:sz w:val="21"/>
                <w:szCs w:val="21"/>
              </w:rPr>
              <w:t>《水质</w:t>
            </w:r>
            <w:r>
              <w:rPr>
                <w:rFonts w:cs="Times New Roman"/>
                <w:color w:val="auto"/>
                <w:kern w:val="0"/>
                <w:sz w:val="21"/>
                <w:szCs w:val="21"/>
              </w:rPr>
              <w:t xml:space="preserve"> </w:t>
            </w:r>
            <w:r>
              <w:rPr>
                <w:rFonts w:ascii="宋体" w:hAnsi="宋体" w:cs="Times New Roman"/>
                <w:color w:val="auto"/>
                <w:kern w:val="0"/>
                <w:sz w:val="21"/>
                <w:szCs w:val="21"/>
              </w:rPr>
              <w:t>悬浮物的测定</w:t>
            </w:r>
            <w:r>
              <w:rPr>
                <w:rFonts w:cs="Times New Roman"/>
                <w:color w:val="auto"/>
                <w:kern w:val="0"/>
                <w:sz w:val="21"/>
                <w:szCs w:val="21"/>
              </w:rPr>
              <w:t xml:space="preserve"> </w:t>
            </w:r>
            <w:r>
              <w:rPr>
                <w:rFonts w:ascii="宋体" w:hAnsi="宋体" w:cs="Times New Roman"/>
                <w:color w:val="auto"/>
                <w:kern w:val="0"/>
                <w:sz w:val="21"/>
                <w:szCs w:val="21"/>
              </w:rPr>
              <w:t>重量法》</w:t>
            </w:r>
          </w:p>
        </w:tc>
        <w:tc>
          <w:tcPr>
            <w:tcW w:w="1359" w:type="dxa"/>
            <w:tcBorders>
              <w:top w:val="single" w:color="auto" w:sz="6" w:space="0"/>
              <w:left w:val="single" w:color="auto" w:sz="6"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ascii="宋体" w:hAnsi="宋体" w:cs="Times New Roman"/>
                <w:color w:val="auto"/>
                <w:kern w:val="0"/>
                <w:sz w:val="21"/>
                <w:szCs w:val="21"/>
              </w:rPr>
              <w:t>分析天平</w:t>
            </w:r>
          </w:p>
        </w:tc>
        <w:tc>
          <w:tcPr>
            <w:tcW w:w="1248" w:type="dxa"/>
            <w:tcBorders>
              <w:top w:val="single" w:color="auto" w:sz="6" w:space="0"/>
              <w:left w:val="single" w:color="auto" w:sz="6" w:space="0"/>
              <w:bottom w:val="single" w:color="auto" w:sz="6" w:space="0"/>
              <w:right w:val="single" w:color="auto" w:sz="4" w:space="0"/>
            </w:tcBorders>
            <w:vAlign w:val="center"/>
          </w:tcPr>
          <w:p>
            <w:pPr>
              <w:autoSpaceDE w:val="0"/>
              <w:spacing w:line="280" w:lineRule="exact"/>
              <w:ind w:firstLine="0" w:firstLineChars="0"/>
              <w:jc w:val="center"/>
              <w:rPr>
                <w:rFonts w:cs="Times New Roman"/>
                <w:bCs/>
                <w:color w:val="auto"/>
                <w:sz w:val="21"/>
                <w:szCs w:val="21"/>
              </w:rPr>
            </w:pPr>
            <w:r>
              <w:rPr>
                <w:rFonts w:cs="Times New Roman"/>
                <w:bCs/>
                <w:color w:val="auto"/>
                <w:sz w:val="21"/>
                <w:szCs w:val="21"/>
              </w:rPr>
              <w:t>4mg/L</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536" w:hRule="atLeast"/>
          <w:jc w:val="center"/>
        </w:trPr>
        <w:tc>
          <w:tcPr>
            <w:tcW w:w="1281" w:type="dxa"/>
            <w:tcBorders>
              <w:top w:val="single" w:color="auto" w:sz="6" w:space="0"/>
              <w:left w:val="single" w:color="auto" w:sz="4"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ascii="宋体" w:hAnsi="宋体" w:cs="Times New Roman"/>
                <w:color w:val="auto"/>
                <w:kern w:val="0"/>
                <w:sz w:val="21"/>
                <w:szCs w:val="21"/>
              </w:rPr>
              <w:t>化学需氧量</w:t>
            </w:r>
          </w:p>
        </w:tc>
        <w:tc>
          <w:tcPr>
            <w:tcW w:w="1711" w:type="dxa"/>
            <w:tcBorders>
              <w:top w:val="single" w:color="auto" w:sz="6" w:space="0"/>
              <w:left w:val="single" w:color="auto" w:sz="6"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cs="Times New Roman"/>
                <w:color w:val="auto"/>
                <w:kern w:val="0"/>
                <w:sz w:val="21"/>
                <w:szCs w:val="21"/>
              </w:rPr>
              <w:t>HJ828—2017</w:t>
            </w:r>
          </w:p>
        </w:tc>
        <w:tc>
          <w:tcPr>
            <w:tcW w:w="3196" w:type="dxa"/>
            <w:tcBorders>
              <w:top w:val="single" w:color="auto" w:sz="6" w:space="0"/>
              <w:left w:val="single" w:color="auto" w:sz="6"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ascii="宋体" w:hAnsi="宋体" w:cs="Times New Roman"/>
                <w:color w:val="auto"/>
                <w:kern w:val="0"/>
                <w:sz w:val="21"/>
                <w:szCs w:val="21"/>
              </w:rPr>
              <w:t>《水质</w:t>
            </w:r>
            <w:r>
              <w:rPr>
                <w:rFonts w:cs="Times New Roman"/>
                <w:color w:val="auto"/>
                <w:kern w:val="0"/>
                <w:sz w:val="21"/>
                <w:szCs w:val="21"/>
              </w:rPr>
              <w:t xml:space="preserve"> </w:t>
            </w:r>
            <w:r>
              <w:rPr>
                <w:rFonts w:ascii="宋体" w:hAnsi="宋体" w:cs="Times New Roman"/>
                <w:color w:val="auto"/>
                <w:kern w:val="0"/>
                <w:sz w:val="21"/>
                <w:szCs w:val="21"/>
              </w:rPr>
              <w:t>化学需氧量的测定</w:t>
            </w:r>
            <w:r>
              <w:rPr>
                <w:rFonts w:cs="Times New Roman"/>
                <w:color w:val="auto"/>
                <w:kern w:val="0"/>
                <w:sz w:val="21"/>
                <w:szCs w:val="21"/>
              </w:rPr>
              <w:t xml:space="preserve"> </w:t>
            </w:r>
            <w:r>
              <w:rPr>
                <w:rFonts w:ascii="宋体" w:hAnsi="宋体" w:cs="Times New Roman"/>
                <w:color w:val="auto"/>
                <w:kern w:val="0"/>
                <w:sz w:val="21"/>
                <w:szCs w:val="21"/>
              </w:rPr>
              <w:t>重铬酸盐法》</w:t>
            </w:r>
          </w:p>
        </w:tc>
        <w:tc>
          <w:tcPr>
            <w:tcW w:w="1359" w:type="dxa"/>
            <w:tcBorders>
              <w:top w:val="single" w:color="auto" w:sz="6" w:space="0"/>
              <w:left w:val="single" w:color="auto" w:sz="6"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ascii="宋体" w:hAnsi="宋体" w:cs="Times New Roman"/>
                <w:color w:val="auto"/>
                <w:kern w:val="0"/>
                <w:sz w:val="21"/>
                <w:szCs w:val="21"/>
              </w:rPr>
              <w:t>滴定管</w:t>
            </w:r>
          </w:p>
        </w:tc>
        <w:tc>
          <w:tcPr>
            <w:tcW w:w="1248" w:type="dxa"/>
            <w:tcBorders>
              <w:top w:val="single" w:color="auto" w:sz="6" w:space="0"/>
              <w:left w:val="single" w:color="auto" w:sz="6" w:space="0"/>
              <w:bottom w:val="single" w:color="auto" w:sz="6" w:space="0"/>
              <w:right w:val="single" w:color="auto" w:sz="4" w:space="0"/>
            </w:tcBorders>
            <w:vAlign w:val="center"/>
          </w:tcPr>
          <w:p>
            <w:pPr>
              <w:autoSpaceDE w:val="0"/>
              <w:spacing w:line="280" w:lineRule="exact"/>
              <w:ind w:firstLine="0" w:firstLineChars="0"/>
              <w:jc w:val="center"/>
              <w:rPr>
                <w:rFonts w:cs="Times New Roman"/>
                <w:bCs/>
                <w:color w:val="auto"/>
                <w:sz w:val="21"/>
                <w:szCs w:val="21"/>
              </w:rPr>
            </w:pPr>
            <w:r>
              <w:rPr>
                <w:rFonts w:cs="Times New Roman"/>
                <w:bCs/>
                <w:color w:val="auto"/>
                <w:sz w:val="21"/>
                <w:szCs w:val="21"/>
              </w:rPr>
              <w:t>4mg/L</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566" w:hRule="atLeast"/>
          <w:jc w:val="center"/>
        </w:trPr>
        <w:tc>
          <w:tcPr>
            <w:tcW w:w="1281" w:type="dxa"/>
            <w:tcBorders>
              <w:top w:val="single" w:color="auto" w:sz="6" w:space="0"/>
              <w:left w:val="single" w:color="auto" w:sz="4"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ascii="宋体" w:hAnsi="宋体" w:cs="Times New Roman"/>
                <w:color w:val="auto"/>
                <w:kern w:val="0"/>
                <w:sz w:val="21"/>
                <w:szCs w:val="21"/>
              </w:rPr>
              <w:t>五日生化需氧量</w:t>
            </w:r>
          </w:p>
        </w:tc>
        <w:tc>
          <w:tcPr>
            <w:tcW w:w="1711" w:type="dxa"/>
            <w:tcBorders>
              <w:top w:val="single" w:color="auto" w:sz="6" w:space="0"/>
              <w:left w:val="single" w:color="auto" w:sz="6"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cs="Times New Roman"/>
                <w:color w:val="auto"/>
                <w:kern w:val="0"/>
                <w:sz w:val="21"/>
                <w:szCs w:val="21"/>
              </w:rPr>
              <w:t>HJ505-2009</w:t>
            </w:r>
          </w:p>
        </w:tc>
        <w:tc>
          <w:tcPr>
            <w:tcW w:w="3196" w:type="dxa"/>
            <w:tcBorders>
              <w:top w:val="single" w:color="auto" w:sz="6" w:space="0"/>
              <w:left w:val="single" w:color="auto" w:sz="6"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ascii="宋体" w:hAnsi="宋体" w:cs="Times New Roman"/>
                <w:color w:val="auto"/>
                <w:kern w:val="0"/>
                <w:sz w:val="21"/>
                <w:szCs w:val="21"/>
              </w:rPr>
              <w:t>《水质</w:t>
            </w:r>
            <w:r>
              <w:rPr>
                <w:rFonts w:cs="Times New Roman"/>
                <w:color w:val="auto"/>
                <w:kern w:val="0"/>
                <w:sz w:val="21"/>
                <w:szCs w:val="21"/>
              </w:rPr>
              <w:t xml:space="preserve"> </w:t>
            </w:r>
            <w:r>
              <w:rPr>
                <w:rFonts w:ascii="宋体" w:hAnsi="宋体" w:cs="Times New Roman"/>
                <w:color w:val="auto"/>
                <w:kern w:val="0"/>
                <w:sz w:val="21"/>
                <w:szCs w:val="21"/>
              </w:rPr>
              <w:t>五日生化需氧量的测定</w:t>
            </w:r>
            <w:r>
              <w:rPr>
                <w:rFonts w:cs="Times New Roman"/>
                <w:color w:val="auto"/>
                <w:kern w:val="0"/>
                <w:sz w:val="21"/>
                <w:szCs w:val="21"/>
              </w:rPr>
              <w:t xml:space="preserve"> </w:t>
            </w:r>
            <w:r>
              <w:rPr>
                <w:rFonts w:ascii="宋体" w:hAnsi="宋体" w:cs="Times New Roman"/>
                <w:color w:val="auto"/>
                <w:kern w:val="0"/>
                <w:sz w:val="21"/>
                <w:szCs w:val="21"/>
              </w:rPr>
              <w:t>稀释与接种法》</w:t>
            </w:r>
          </w:p>
        </w:tc>
        <w:tc>
          <w:tcPr>
            <w:tcW w:w="1359" w:type="dxa"/>
            <w:tcBorders>
              <w:top w:val="single" w:color="auto" w:sz="6" w:space="0"/>
              <w:left w:val="single" w:color="auto" w:sz="6"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ascii="宋体" w:hAnsi="宋体" w:cs="Times New Roman"/>
                <w:color w:val="auto"/>
                <w:kern w:val="0"/>
                <w:sz w:val="21"/>
                <w:szCs w:val="21"/>
              </w:rPr>
              <w:t>生化培养箱</w:t>
            </w:r>
          </w:p>
        </w:tc>
        <w:tc>
          <w:tcPr>
            <w:tcW w:w="1248" w:type="dxa"/>
            <w:tcBorders>
              <w:top w:val="single" w:color="auto" w:sz="6" w:space="0"/>
              <w:left w:val="single" w:color="auto" w:sz="6" w:space="0"/>
              <w:bottom w:val="single" w:color="auto" w:sz="6" w:space="0"/>
              <w:right w:val="single" w:color="auto" w:sz="4" w:space="0"/>
            </w:tcBorders>
            <w:vAlign w:val="center"/>
          </w:tcPr>
          <w:p>
            <w:pPr>
              <w:autoSpaceDE w:val="0"/>
              <w:spacing w:line="280" w:lineRule="exact"/>
              <w:ind w:firstLine="0" w:firstLineChars="0"/>
              <w:jc w:val="center"/>
              <w:rPr>
                <w:rFonts w:cs="Times New Roman"/>
                <w:color w:val="auto"/>
                <w:sz w:val="21"/>
                <w:szCs w:val="21"/>
              </w:rPr>
            </w:pPr>
            <w:r>
              <w:rPr>
                <w:rFonts w:cs="Times New Roman"/>
                <w:bCs/>
                <w:color w:val="auto"/>
                <w:sz w:val="21"/>
                <w:szCs w:val="21"/>
              </w:rPr>
              <w:t>0.5mg/L</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536" w:hRule="atLeast"/>
          <w:jc w:val="center"/>
        </w:trPr>
        <w:tc>
          <w:tcPr>
            <w:tcW w:w="1281" w:type="dxa"/>
            <w:tcBorders>
              <w:top w:val="single" w:color="auto" w:sz="6" w:space="0"/>
              <w:left w:val="single" w:color="auto" w:sz="4"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ascii="宋体" w:hAnsi="宋体" w:cs="Times New Roman"/>
                <w:color w:val="auto"/>
                <w:kern w:val="0"/>
                <w:sz w:val="21"/>
                <w:szCs w:val="21"/>
              </w:rPr>
              <w:t>氨氮</w:t>
            </w:r>
          </w:p>
        </w:tc>
        <w:tc>
          <w:tcPr>
            <w:tcW w:w="1711" w:type="dxa"/>
            <w:tcBorders>
              <w:top w:val="single" w:color="auto" w:sz="6" w:space="0"/>
              <w:left w:val="single" w:color="auto" w:sz="6"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cs="Times New Roman"/>
                <w:color w:val="auto"/>
                <w:kern w:val="0"/>
                <w:sz w:val="21"/>
                <w:szCs w:val="21"/>
              </w:rPr>
              <w:t>HJ535-2009</w:t>
            </w:r>
          </w:p>
        </w:tc>
        <w:tc>
          <w:tcPr>
            <w:tcW w:w="3196" w:type="dxa"/>
            <w:tcBorders>
              <w:top w:val="single" w:color="auto" w:sz="6" w:space="0"/>
              <w:left w:val="single" w:color="auto" w:sz="6"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ascii="宋体" w:hAnsi="宋体" w:cs="Times New Roman"/>
                <w:color w:val="auto"/>
                <w:kern w:val="0"/>
                <w:sz w:val="21"/>
                <w:szCs w:val="21"/>
              </w:rPr>
              <w:t>《水质</w:t>
            </w:r>
            <w:r>
              <w:rPr>
                <w:rFonts w:cs="Times New Roman"/>
                <w:color w:val="auto"/>
                <w:kern w:val="0"/>
                <w:sz w:val="21"/>
                <w:szCs w:val="21"/>
              </w:rPr>
              <w:t xml:space="preserve"> </w:t>
            </w:r>
            <w:r>
              <w:rPr>
                <w:rFonts w:ascii="宋体" w:hAnsi="宋体" w:cs="Times New Roman"/>
                <w:color w:val="auto"/>
                <w:kern w:val="0"/>
                <w:sz w:val="21"/>
                <w:szCs w:val="21"/>
              </w:rPr>
              <w:t>氨氮的测定</w:t>
            </w:r>
            <w:r>
              <w:rPr>
                <w:rFonts w:cs="Times New Roman"/>
                <w:color w:val="auto"/>
                <w:kern w:val="0"/>
                <w:sz w:val="21"/>
                <w:szCs w:val="21"/>
              </w:rPr>
              <w:t xml:space="preserve"> </w:t>
            </w:r>
            <w:r>
              <w:rPr>
                <w:rFonts w:ascii="宋体" w:hAnsi="宋体" w:cs="Times New Roman"/>
                <w:color w:val="auto"/>
                <w:kern w:val="0"/>
                <w:sz w:val="21"/>
                <w:szCs w:val="21"/>
              </w:rPr>
              <w:t>纳氏试剂分光光度法》</w:t>
            </w:r>
          </w:p>
        </w:tc>
        <w:tc>
          <w:tcPr>
            <w:tcW w:w="1359" w:type="dxa"/>
            <w:tcBorders>
              <w:top w:val="single" w:color="auto" w:sz="6" w:space="0"/>
              <w:left w:val="single" w:color="auto" w:sz="6"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ascii="宋体" w:hAnsi="宋体" w:cs="Times New Roman"/>
                <w:color w:val="auto"/>
                <w:kern w:val="0"/>
                <w:sz w:val="21"/>
                <w:szCs w:val="21"/>
              </w:rPr>
              <w:t>分光光度计</w:t>
            </w:r>
          </w:p>
        </w:tc>
        <w:tc>
          <w:tcPr>
            <w:tcW w:w="1248" w:type="dxa"/>
            <w:tcBorders>
              <w:top w:val="single" w:color="auto" w:sz="6" w:space="0"/>
              <w:left w:val="single" w:color="auto" w:sz="6" w:space="0"/>
              <w:bottom w:val="single" w:color="auto" w:sz="6" w:space="0"/>
              <w:right w:val="single" w:color="auto" w:sz="4" w:space="0"/>
            </w:tcBorders>
            <w:vAlign w:val="center"/>
          </w:tcPr>
          <w:p>
            <w:pPr>
              <w:autoSpaceDE w:val="0"/>
              <w:spacing w:line="280" w:lineRule="exact"/>
              <w:ind w:firstLine="0" w:firstLineChars="0"/>
              <w:jc w:val="center"/>
              <w:rPr>
                <w:rFonts w:cs="Times New Roman"/>
                <w:bCs/>
                <w:color w:val="auto"/>
                <w:sz w:val="21"/>
                <w:szCs w:val="21"/>
              </w:rPr>
            </w:pPr>
            <w:r>
              <w:rPr>
                <w:rFonts w:cs="Times New Roman"/>
                <w:bCs/>
                <w:color w:val="auto"/>
                <w:sz w:val="21"/>
                <w:szCs w:val="21"/>
              </w:rPr>
              <w:t>0.025mg/L</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641" w:hRule="atLeast"/>
          <w:jc w:val="center"/>
        </w:trPr>
        <w:tc>
          <w:tcPr>
            <w:tcW w:w="1281" w:type="dxa"/>
            <w:tcBorders>
              <w:top w:val="single" w:color="auto" w:sz="6" w:space="0"/>
              <w:left w:val="single" w:color="auto" w:sz="4"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ascii="宋体" w:hAnsi="宋体" w:cs="Times New Roman"/>
                <w:color w:val="auto"/>
                <w:sz w:val="21"/>
                <w:szCs w:val="21"/>
              </w:rPr>
              <w:t>动植物油</w:t>
            </w:r>
          </w:p>
        </w:tc>
        <w:tc>
          <w:tcPr>
            <w:tcW w:w="1711" w:type="dxa"/>
            <w:tcBorders>
              <w:top w:val="single" w:color="auto" w:sz="6" w:space="0"/>
              <w:left w:val="single" w:color="auto" w:sz="6" w:space="0"/>
              <w:bottom w:val="single" w:color="auto" w:sz="6" w:space="0"/>
              <w:right w:val="single" w:color="auto" w:sz="6" w:space="0"/>
            </w:tcBorders>
            <w:vAlign w:val="center"/>
          </w:tcPr>
          <w:p>
            <w:pPr>
              <w:shd w:val="clear" w:color="auto" w:fill="FFFFFF"/>
              <w:autoSpaceDE w:val="0"/>
              <w:spacing w:before="100" w:beforeAutospacing="1" w:line="280" w:lineRule="exact"/>
              <w:ind w:firstLine="0" w:firstLineChars="0"/>
              <w:jc w:val="center"/>
              <w:outlineLvl w:val="0"/>
              <w:rPr>
                <w:rFonts w:cs="Times New Roman"/>
                <w:b/>
                <w:bCs/>
                <w:color w:val="auto"/>
                <w:kern w:val="0"/>
                <w:sz w:val="21"/>
                <w:szCs w:val="21"/>
              </w:rPr>
            </w:pPr>
            <w:bookmarkStart w:id="75" w:name="_Toc15859"/>
            <w:bookmarkStart w:id="76" w:name="_Toc217900588"/>
            <w:r>
              <w:rPr>
                <w:rFonts w:cs="Times New Roman"/>
                <w:color w:val="auto"/>
                <w:kern w:val="0"/>
                <w:sz w:val="21"/>
                <w:szCs w:val="21"/>
              </w:rPr>
              <w:t>HJ637-2018</w:t>
            </w:r>
            <w:bookmarkEnd w:id="75"/>
            <w:bookmarkEnd w:id="76"/>
          </w:p>
        </w:tc>
        <w:tc>
          <w:tcPr>
            <w:tcW w:w="3196" w:type="dxa"/>
            <w:tcBorders>
              <w:top w:val="single" w:color="auto" w:sz="6" w:space="0"/>
              <w:left w:val="single" w:color="auto" w:sz="6" w:space="0"/>
              <w:bottom w:val="single" w:color="auto" w:sz="6" w:space="0"/>
              <w:right w:val="single" w:color="auto" w:sz="6" w:space="0"/>
            </w:tcBorders>
            <w:vAlign w:val="center"/>
          </w:tcPr>
          <w:p>
            <w:pPr>
              <w:shd w:val="clear" w:color="auto" w:fill="FFFFFF"/>
              <w:autoSpaceDE w:val="0"/>
              <w:spacing w:before="100" w:beforeAutospacing="1" w:line="280" w:lineRule="exact"/>
              <w:ind w:firstLine="0" w:firstLineChars="0"/>
              <w:jc w:val="center"/>
              <w:outlineLvl w:val="0"/>
              <w:rPr>
                <w:rFonts w:cs="Times New Roman"/>
                <w:color w:val="auto"/>
                <w:kern w:val="0"/>
                <w:sz w:val="21"/>
                <w:szCs w:val="21"/>
              </w:rPr>
            </w:pPr>
            <w:bookmarkStart w:id="77" w:name="_Toc15098"/>
            <w:bookmarkStart w:id="78" w:name="_Toc217900589"/>
            <w:r>
              <w:rPr>
                <w:rFonts w:ascii="宋体" w:hAnsi="宋体" w:cs="Times New Roman"/>
                <w:color w:val="auto"/>
                <w:kern w:val="0"/>
                <w:sz w:val="21"/>
                <w:szCs w:val="21"/>
              </w:rPr>
              <w:t>《水质</w:t>
            </w:r>
            <w:r>
              <w:rPr>
                <w:rFonts w:cs="Times New Roman"/>
                <w:color w:val="auto"/>
                <w:kern w:val="0"/>
                <w:sz w:val="21"/>
                <w:szCs w:val="21"/>
              </w:rPr>
              <w:t xml:space="preserve"> </w:t>
            </w:r>
            <w:r>
              <w:rPr>
                <w:rFonts w:ascii="宋体" w:hAnsi="宋体" w:cs="Times New Roman"/>
                <w:color w:val="auto"/>
                <w:kern w:val="0"/>
                <w:sz w:val="21"/>
                <w:szCs w:val="21"/>
              </w:rPr>
              <w:t>石油类和动植物油类的测定</w:t>
            </w:r>
            <w:r>
              <w:rPr>
                <w:rFonts w:cs="Times New Roman"/>
                <w:color w:val="auto"/>
                <w:kern w:val="0"/>
                <w:sz w:val="21"/>
                <w:szCs w:val="21"/>
              </w:rPr>
              <w:t xml:space="preserve"> </w:t>
            </w:r>
            <w:r>
              <w:rPr>
                <w:rFonts w:ascii="宋体" w:hAnsi="宋体" w:cs="Times New Roman"/>
                <w:color w:val="auto"/>
                <w:kern w:val="0"/>
                <w:sz w:val="21"/>
                <w:szCs w:val="21"/>
              </w:rPr>
              <w:t>红外分光光度法》</w:t>
            </w:r>
            <w:bookmarkEnd w:id="77"/>
            <w:bookmarkEnd w:id="78"/>
          </w:p>
        </w:tc>
        <w:tc>
          <w:tcPr>
            <w:tcW w:w="1359" w:type="dxa"/>
            <w:tcBorders>
              <w:top w:val="single" w:color="auto" w:sz="6" w:space="0"/>
              <w:left w:val="single" w:color="auto" w:sz="6"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ascii="宋体" w:hAnsi="宋体" w:cs="Times New Roman"/>
                <w:color w:val="auto"/>
                <w:kern w:val="0"/>
                <w:sz w:val="21"/>
                <w:szCs w:val="21"/>
              </w:rPr>
              <w:t>红外分光光度计</w:t>
            </w:r>
          </w:p>
        </w:tc>
        <w:tc>
          <w:tcPr>
            <w:tcW w:w="1248" w:type="dxa"/>
            <w:tcBorders>
              <w:top w:val="single" w:color="auto" w:sz="6" w:space="0"/>
              <w:left w:val="single" w:color="auto" w:sz="6" w:space="0"/>
              <w:bottom w:val="single" w:color="auto" w:sz="6" w:space="0"/>
              <w:right w:val="single" w:color="auto" w:sz="4" w:space="0"/>
            </w:tcBorders>
            <w:vAlign w:val="center"/>
          </w:tcPr>
          <w:p>
            <w:pPr>
              <w:autoSpaceDE w:val="0"/>
              <w:spacing w:line="280" w:lineRule="exact"/>
              <w:ind w:firstLine="0" w:firstLineChars="0"/>
              <w:jc w:val="center"/>
              <w:rPr>
                <w:rFonts w:cs="Times New Roman"/>
                <w:bCs/>
                <w:color w:val="auto"/>
                <w:sz w:val="21"/>
                <w:szCs w:val="21"/>
              </w:rPr>
            </w:pPr>
            <w:r>
              <w:rPr>
                <w:rFonts w:cs="Times New Roman"/>
                <w:bCs/>
                <w:color w:val="auto"/>
                <w:sz w:val="21"/>
                <w:szCs w:val="21"/>
              </w:rPr>
              <w:t>0.06mg/L</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656" w:hRule="atLeast"/>
          <w:jc w:val="center"/>
        </w:trPr>
        <w:tc>
          <w:tcPr>
            <w:tcW w:w="1281" w:type="dxa"/>
            <w:tcBorders>
              <w:top w:val="single" w:color="auto" w:sz="6" w:space="0"/>
              <w:left w:val="single" w:color="auto" w:sz="4"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ascii="宋体" w:hAnsi="宋体" w:cs="Times New Roman"/>
                <w:color w:val="auto"/>
                <w:kern w:val="0"/>
                <w:sz w:val="21"/>
                <w:szCs w:val="21"/>
              </w:rPr>
              <w:t>臭气浓度</w:t>
            </w:r>
          </w:p>
        </w:tc>
        <w:tc>
          <w:tcPr>
            <w:tcW w:w="1711" w:type="dxa"/>
            <w:tcBorders>
              <w:top w:val="single" w:color="auto" w:sz="6" w:space="0"/>
              <w:left w:val="single" w:color="auto" w:sz="6"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cs="Times New Roman"/>
                <w:color w:val="auto"/>
                <w:kern w:val="0"/>
                <w:sz w:val="21"/>
                <w:szCs w:val="21"/>
              </w:rPr>
              <w:t>HJ1262-2022</w:t>
            </w:r>
          </w:p>
        </w:tc>
        <w:tc>
          <w:tcPr>
            <w:tcW w:w="3196" w:type="dxa"/>
            <w:tcBorders>
              <w:top w:val="single" w:color="auto" w:sz="6" w:space="0"/>
              <w:left w:val="single" w:color="auto" w:sz="6"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ascii="宋体" w:hAnsi="宋体" w:cs="Times New Roman"/>
                <w:color w:val="auto"/>
                <w:kern w:val="0"/>
                <w:sz w:val="21"/>
                <w:szCs w:val="21"/>
              </w:rPr>
              <w:t>《环境空气和废气</w:t>
            </w:r>
            <w:r>
              <w:rPr>
                <w:rFonts w:cs="Times New Roman"/>
                <w:color w:val="auto"/>
                <w:kern w:val="0"/>
                <w:sz w:val="21"/>
                <w:szCs w:val="21"/>
              </w:rPr>
              <w:t xml:space="preserve"> </w:t>
            </w:r>
            <w:r>
              <w:rPr>
                <w:rFonts w:ascii="宋体" w:hAnsi="宋体" w:cs="Times New Roman"/>
                <w:color w:val="auto"/>
                <w:kern w:val="0"/>
                <w:sz w:val="21"/>
                <w:szCs w:val="21"/>
              </w:rPr>
              <w:t>臭气的测定</w:t>
            </w:r>
            <w:r>
              <w:rPr>
                <w:rFonts w:cs="Times New Roman"/>
                <w:color w:val="auto"/>
                <w:kern w:val="0"/>
                <w:sz w:val="21"/>
                <w:szCs w:val="21"/>
              </w:rPr>
              <w:t xml:space="preserve"> </w:t>
            </w:r>
            <w:r>
              <w:rPr>
                <w:rFonts w:ascii="宋体" w:hAnsi="宋体" w:cs="Times New Roman"/>
                <w:color w:val="auto"/>
                <w:kern w:val="0"/>
                <w:sz w:val="21"/>
                <w:szCs w:val="21"/>
              </w:rPr>
              <w:t>三点比较式臭袋法》</w:t>
            </w:r>
          </w:p>
        </w:tc>
        <w:tc>
          <w:tcPr>
            <w:tcW w:w="1359" w:type="dxa"/>
            <w:tcBorders>
              <w:top w:val="single" w:color="auto" w:sz="6" w:space="0"/>
              <w:left w:val="single" w:color="auto" w:sz="6"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cs="Times New Roman"/>
                <w:color w:val="auto"/>
                <w:kern w:val="0"/>
                <w:sz w:val="21"/>
                <w:szCs w:val="21"/>
              </w:rPr>
              <w:t>--</w:t>
            </w:r>
          </w:p>
        </w:tc>
        <w:tc>
          <w:tcPr>
            <w:tcW w:w="1248" w:type="dxa"/>
            <w:tcBorders>
              <w:top w:val="single" w:color="auto" w:sz="6" w:space="0"/>
              <w:left w:val="single" w:color="auto" w:sz="6" w:space="0"/>
              <w:bottom w:val="single" w:color="auto" w:sz="6" w:space="0"/>
              <w:right w:val="single" w:color="auto" w:sz="4" w:space="0"/>
            </w:tcBorders>
            <w:vAlign w:val="center"/>
          </w:tcPr>
          <w:p>
            <w:pPr>
              <w:autoSpaceDE w:val="0"/>
              <w:spacing w:line="280" w:lineRule="exact"/>
              <w:ind w:firstLine="0" w:firstLineChars="0"/>
              <w:jc w:val="center"/>
              <w:rPr>
                <w:rFonts w:cs="Times New Roman"/>
                <w:color w:val="auto"/>
                <w:sz w:val="21"/>
                <w:szCs w:val="21"/>
              </w:rPr>
            </w:pPr>
            <w:r>
              <w:rPr>
                <w:rFonts w:cs="Times New Roman"/>
                <w:color w:val="auto"/>
                <w:kern w:val="0"/>
                <w:sz w:val="21"/>
                <w:szCs w:val="21"/>
              </w:rPr>
              <w:t>10</w:t>
            </w:r>
            <w:r>
              <w:rPr>
                <w:rFonts w:ascii="宋体" w:hAnsi="宋体" w:cs="Times New Roman"/>
                <w:color w:val="auto"/>
                <w:kern w:val="0"/>
                <w:sz w:val="18"/>
                <w:szCs w:val="18"/>
              </w:rPr>
              <w:t>（无量纲）</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656" w:hRule="atLeast"/>
          <w:jc w:val="center"/>
        </w:trPr>
        <w:tc>
          <w:tcPr>
            <w:tcW w:w="1281" w:type="dxa"/>
            <w:tcBorders>
              <w:top w:val="single" w:color="auto" w:sz="6" w:space="0"/>
              <w:left w:val="single" w:color="auto" w:sz="4"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sz w:val="21"/>
                <w:szCs w:val="21"/>
              </w:rPr>
            </w:pPr>
            <w:r>
              <w:rPr>
                <w:rFonts w:ascii="宋体" w:hAnsi="宋体" w:cs="Times New Roman"/>
                <w:color w:val="auto"/>
                <w:kern w:val="0"/>
                <w:sz w:val="21"/>
                <w:szCs w:val="21"/>
              </w:rPr>
              <w:t>非甲烷总烃</w:t>
            </w:r>
          </w:p>
        </w:tc>
        <w:tc>
          <w:tcPr>
            <w:tcW w:w="1711" w:type="dxa"/>
            <w:tcBorders>
              <w:top w:val="single" w:color="auto" w:sz="6" w:space="0"/>
              <w:left w:val="single" w:color="auto" w:sz="6"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cs="Times New Roman"/>
                <w:color w:val="auto"/>
                <w:kern w:val="0"/>
                <w:sz w:val="21"/>
                <w:szCs w:val="21"/>
              </w:rPr>
              <w:t>HJ604-2017</w:t>
            </w:r>
          </w:p>
        </w:tc>
        <w:tc>
          <w:tcPr>
            <w:tcW w:w="3196" w:type="dxa"/>
            <w:tcBorders>
              <w:top w:val="single" w:color="auto" w:sz="6" w:space="0"/>
              <w:left w:val="single" w:color="auto" w:sz="6"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ascii="宋体" w:hAnsi="宋体" w:cs="Times New Roman"/>
                <w:color w:val="auto"/>
                <w:kern w:val="0"/>
                <w:sz w:val="21"/>
                <w:szCs w:val="21"/>
              </w:rPr>
              <w:t>《环境空气</w:t>
            </w:r>
            <w:r>
              <w:rPr>
                <w:rFonts w:cs="Times New Roman"/>
                <w:color w:val="auto"/>
                <w:kern w:val="0"/>
                <w:sz w:val="21"/>
                <w:szCs w:val="21"/>
              </w:rPr>
              <w:t xml:space="preserve"> </w:t>
            </w:r>
            <w:r>
              <w:rPr>
                <w:rFonts w:ascii="宋体" w:hAnsi="宋体" w:cs="Times New Roman"/>
                <w:color w:val="auto"/>
                <w:kern w:val="0"/>
                <w:sz w:val="21"/>
                <w:szCs w:val="21"/>
              </w:rPr>
              <w:t>总烃、甲烷和非甲烷总烃的测定</w:t>
            </w:r>
            <w:r>
              <w:rPr>
                <w:rFonts w:cs="Times New Roman"/>
                <w:color w:val="auto"/>
                <w:kern w:val="0"/>
                <w:sz w:val="21"/>
                <w:szCs w:val="21"/>
              </w:rPr>
              <w:t xml:space="preserve"> </w:t>
            </w:r>
            <w:r>
              <w:rPr>
                <w:rFonts w:ascii="宋体" w:hAnsi="宋体" w:cs="Times New Roman"/>
                <w:color w:val="auto"/>
                <w:kern w:val="0"/>
                <w:sz w:val="21"/>
                <w:szCs w:val="21"/>
              </w:rPr>
              <w:t>直接进样</w:t>
            </w:r>
            <w:r>
              <w:rPr>
                <w:rFonts w:cs="Times New Roman"/>
                <w:color w:val="auto"/>
                <w:kern w:val="0"/>
                <w:sz w:val="21"/>
                <w:szCs w:val="21"/>
              </w:rPr>
              <w:t>-</w:t>
            </w:r>
            <w:r>
              <w:rPr>
                <w:rFonts w:ascii="宋体" w:hAnsi="宋体" w:cs="Times New Roman"/>
                <w:color w:val="auto"/>
                <w:kern w:val="0"/>
                <w:sz w:val="21"/>
                <w:szCs w:val="21"/>
              </w:rPr>
              <w:t>气相色谱法》</w:t>
            </w:r>
          </w:p>
        </w:tc>
        <w:tc>
          <w:tcPr>
            <w:tcW w:w="1359" w:type="dxa"/>
            <w:tcBorders>
              <w:top w:val="single" w:color="auto" w:sz="6" w:space="0"/>
              <w:left w:val="single" w:color="auto" w:sz="6"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ascii="宋体" w:hAnsi="宋体" w:cs="Times New Roman"/>
                <w:color w:val="auto"/>
                <w:kern w:val="0"/>
                <w:sz w:val="21"/>
                <w:szCs w:val="21"/>
              </w:rPr>
              <w:t>气相色谱仪</w:t>
            </w:r>
          </w:p>
        </w:tc>
        <w:tc>
          <w:tcPr>
            <w:tcW w:w="1248" w:type="dxa"/>
            <w:tcBorders>
              <w:top w:val="single" w:color="auto" w:sz="6" w:space="0"/>
              <w:left w:val="single" w:color="auto" w:sz="6" w:space="0"/>
              <w:bottom w:val="single" w:color="auto" w:sz="6" w:space="0"/>
              <w:right w:val="single" w:color="auto" w:sz="4" w:space="0"/>
            </w:tcBorders>
            <w:vAlign w:val="center"/>
          </w:tcPr>
          <w:p>
            <w:pPr>
              <w:autoSpaceDE w:val="0"/>
              <w:spacing w:line="280" w:lineRule="exact"/>
              <w:ind w:firstLine="0" w:firstLineChars="0"/>
              <w:jc w:val="center"/>
              <w:rPr>
                <w:rFonts w:cs="Times New Roman"/>
                <w:color w:val="auto"/>
                <w:kern w:val="0"/>
                <w:sz w:val="21"/>
                <w:szCs w:val="21"/>
              </w:rPr>
            </w:pPr>
            <w:r>
              <w:rPr>
                <w:rFonts w:cs="Times New Roman"/>
                <w:color w:val="auto"/>
                <w:kern w:val="0"/>
                <w:sz w:val="21"/>
                <w:szCs w:val="21"/>
              </w:rPr>
              <w:t>0.07mg/m</w:t>
            </w:r>
            <w:r>
              <w:rPr>
                <w:rFonts w:cs="Times New Roman"/>
                <w:color w:val="auto"/>
                <w:kern w:val="0"/>
                <w:sz w:val="21"/>
                <w:szCs w:val="21"/>
                <w:vertAlign w:val="superscript"/>
              </w:rPr>
              <w:t>3</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656" w:hRule="atLeast"/>
          <w:jc w:val="center"/>
        </w:trPr>
        <w:tc>
          <w:tcPr>
            <w:tcW w:w="1281" w:type="dxa"/>
            <w:tcBorders>
              <w:top w:val="single" w:color="auto" w:sz="6" w:space="0"/>
              <w:left w:val="single" w:color="auto" w:sz="4"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ascii="宋体" w:hAnsi="宋体" w:cs="Times New Roman"/>
                <w:color w:val="auto"/>
                <w:kern w:val="0"/>
                <w:sz w:val="21"/>
                <w:szCs w:val="21"/>
              </w:rPr>
              <w:t>颗粒物</w:t>
            </w:r>
          </w:p>
        </w:tc>
        <w:tc>
          <w:tcPr>
            <w:tcW w:w="1711" w:type="dxa"/>
            <w:tcBorders>
              <w:top w:val="single" w:color="auto" w:sz="6" w:space="0"/>
              <w:left w:val="single" w:color="auto" w:sz="6"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cs="Times New Roman"/>
                <w:color w:val="auto"/>
                <w:kern w:val="0"/>
                <w:sz w:val="21"/>
                <w:szCs w:val="21"/>
              </w:rPr>
              <w:t>HJ1263-2022</w:t>
            </w:r>
          </w:p>
        </w:tc>
        <w:tc>
          <w:tcPr>
            <w:tcW w:w="3196" w:type="dxa"/>
            <w:tcBorders>
              <w:top w:val="single" w:color="auto" w:sz="6" w:space="0"/>
              <w:left w:val="single" w:color="auto" w:sz="6"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ascii="宋体" w:hAnsi="宋体" w:cs="Times New Roman"/>
                <w:color w:val="auto"/>
                <w:kern w:val="0"/>
                <w:sz w:val="21"/>
                <w:szCs w:val="21"/>
              </w:rPr>
              <w:t>《环境空气</w:t>
            </w:r>
            <w:r>
              <w:rPr>
                <w:rFonts w:cs="Times New Roman"/>
                <w:color w:val="auto"/>
                <w:kern w:val="0"/>
                <w:sz w:val="21"/>
                <w:szCs w:val="21"/>
              </w:rPr>
              <w:t xml:space="preserve"> </w:t>
            </w:r>
            <w:r>
              <w:rPr>
                <w:rFonts w:ascii="宋体" w:hAnsi="宋体" w:cs="Times New Roman"/>
                <w:color w:val="auto"/>
                <w:kern w:val="0"/>
                <w:sz w:val="21"/>
                <w:szCs w:val="21"/>
              </w:rPr>
              <w:t>总悬浮颗粒物的测定</w:t>
            </w:r>
            <w:r>
              <w:rPr>
                <w:rFonts w:cs="Times New Roman"/>
                <w:color w:val="auto"/>
                <w:kern w:val="0"/>
                <w:sz w:val="21"/>
                <w:szCs w:val="21"/>
              </w:rPr>
              <w:t xml:space="preserve"> </w:t>
            </w:r>
            <w:r>
              <w:rPr>
                <w:rFonts w:ascii="宋体" w:hAnsi="宋体" w:cs="Times New Roman"/>
                <w:color w:val="auto"/>
                <w:kern w:val="0"/>
                <w:sz w:val="21"/>
                <w:szCs w:val="21"/>
              </w:rPr>
              <w:t>重量法》</w:t>
            </w:r>
          </w:p>
        </w:tc>
        <w:tc>
          <w:tcPr>
            <w:tcW w:w="1359" w:type="dxa"/>
            <w:tcBorders>
              <w:top w:val="single" w:color="auto" w:sz="6" w:space="0"/>
              <w:left w:val="single" w:color="auto" w:sz="6"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ascii="宋体" w:hAnsi="宋体" w:cs="Times New Roman"/>
                <w:color w:val="auto"/>
                <w:kern w:val="0"/>
                <w:sz w:val="21"/>
                <w:szCs w:val="21"/>
              </w:rPr>
              <w:t>分析天平</w:t>
            </w:r>
          </w:p>
        </w:tc>
        <w:tc>
          <w:tcPr>
            <w:tcW w:w="1248" w:type="dxa"/>
            <w:tcBorders>
              <w:top w:val="single" w:color="auto" w:sz="6" w:space="0"/>
              <w:left w:val="single" w:color="auto" w:sz="6" w:space="0"/>
              <w:bottom w:val="single" w:color="auto" w:sz="6" w:space="0"/>
              <w:right w:val="single" w:color="auto" w:sz="4" w:space="0"/>
            </w:tcBorders>
            <w:vAlign w:val="center"/>
          </w:tcPr>
          <w:p>
            <w:pPr>
              <w:autoSpaceDE w:val="0"/>
              <w:spacing w:line="280" w:lineRule="exact"/>
              <w:ind w:left="17" w:hanging="16" w:hangingChars="8"/>
              <w:jc w:val="center"/>
              <w:rPr>
                <w:rFonts w:cs="Times New Roman"/>
                <w:bCs/>
                <w:color w:val="auto"/>
                <w:sz w:val="21"/>
                <w:szCs w:val="21"/>
              </w:rPr>
            </w:pPr>
            <w:r>
              <w:rPr>
                <w:rFonts w:cs="Times New Roman"/>
                <w:color w:val="auto"/>
                <w:sz w:val="21"/>
                <w:szCs w:val="21"/>
              </w:rPr>
              <w:t>0.007mg/m</w:t>
            </w:r>
            <w:r>
              <w:rPr>
                <w:rFonts w:cs="Times New Roman"/>
                <w:color w:val="auto"/>
                <w:sz w:val="21"/>
                <w:szCs w:val="21"/>
                <w:vertAlign w:val="superscript"/>
              </w:rPr>
              <w:t>3</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656" w:hRule="atLeast"/>
          <w:jc w:val="center"/>
        </w:trPr>
        <w:tc>
          <w:tcPr>
            <w:tcW w:w="1281" w:type="dxa"/>
            <w:tcBorders>
              <w:top w:val="single" w:color="auto" w:sz="6" w:space="0"/>
              <w:left w:val="single" w:color="auto" w:sz="4"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ascii="宋体" w:hAnsi="宋体" w:cs="Times New Roman"/>
                <w:color w:val="auto"/>
                <w:kern w:val="0"/>
                <w:sz w:val="21"/>
                <w:szCs w:val="21"/>
              </w:rPr>
              <w:t>颗粒物</w:t>
            </w:r>
          </w:p>
        </w:tc>
        <w:tc>
          <w:tcPr>
            <w:tcW w:w="1711" w:type="dxa"/>
            <w:tcBorders>
              <w:top w:val="single" w:color="auto" w:sz="6" w:space="0"/>
              <w:left w:val="single" w:color="auto" w:sz="6"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cs="Times New Roman"/>
                <w:color w:val="auto"/>
                <w:kern w:val="0"/>
                <w:sz w:val="21"/>
                <w:szCs w:val="21"/>
              </w:rPr>
              <w:t>GB/T16157-1996</w:t>
            </w:r>
          </w:p>
        </w:tc>
        <w:tc>
          <w:tcPr>
            <w:tcW w:w="3196" w:type="dxa"/>
            <w:tcBorders>
              <w:top w:val="single" w:color="auto" w:sz="6" w:space="0"/>
              <w:left w:val="single" w:color="auto" w:sz="6"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ascii="宋体" w:hAnsi="宋体" w:cs="Times New Roman"/>
                <w:color w:val="auto"/>
                <w:kern w:val="0"/>
                <w:sz w:val="21"/>
                <w:szCs w:val="21"/>
              </w:rPr>
              <w:t>《固定污染源排气中颗粒物测定与气态污染物采样方法》</w:t>
            </w:r>
          </w:p>
        </w:tc>
        <w:tc>
          <w:tcPr>
            <w:tcW w:w="1359" w:type="dxa"/>
            <w:tcBorders>
              <w:top w:val="single" w:color="auto" w:sz="6" w:space="0"/>
              <w:left w:val="single" w:color="auto" w:sz="6"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ascii="宋体" w:hAnsi="宋体" w:cs="Times New Roman"/>
                <w:color w:val="auto"/>
                <w:sz w:val="21"/>
                <w:szCs w:val="21"/>
              </w:rPr>
              <w:t>分析天平</w:t>
            </w:r>
          </w:p>
        </w:tc>
        <w:tc>
          <w:tcPr>
            <w:tcW w:w="1248" w:type="dxa"/>
            <w:tcBorders>
              <w:top w:val="single" w:color="auto" w:sz="6" w:space="0"/>
              <w:left w:val="single" w:color="auto" w:sz="6" w:space="0"/>
              <w:bottom w:val="single" w:color="auto" w:sz="6" w:space="0"/>
              <w:right w:val="single" w:color="auto" w:sz="4" w:space="0"/>
            </w:tcBorders>
            <w:vAlign w:val="center"/>
          </w:tcPr>
          <w:p>
            <w:pPr>
              <w:autoSpaceDE w:val="0"/>
              <w:spacing w:line="280" w:lineRule="exact"/>
              <w:ind w:firstLine="0" w:firstLineChars="0"/>
              <w:jc w:val="center"/>
              <w:rPr>
                <w:rFonts w:cs="Times New Roman"/>
                <w:bCs/>
                <w:color w:val="auto"/>
                <w:sz w:val="21"/>
                <w:szCs w:val="21"/>
              </w:rPr>
            </w:pPr>
            <w:r>
              <w:rPr>
                <w:rFonts w:cs="Times New Roman"/>
                <w:color w:val="auto"/>
                <w:kern w:val="0"/>
                <w:sz w:val="21"/>
                <w:szCs w:val="21"/>
              </w:rPr>
              <w:t>20mg/m</w:t>
            </w:r>
            <w:r>
              <w:rPr>
                <w:rFonts w:cs="Times New Roman"/>
                <w:color w:val="auto"/>
                <w:kern w:val="0"/>
                <w:sz w:val="21"/>
                <w:szCs w:val="21"/>
                <w:vertAlign w:val="superscript"/>
              </w:rPr>
              <w:t>3</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656" w:hRule="atLeast"/>
          <w:jc w:val="center"/>
        </w:trPr>
        <w:tc>
          <w:tcPr>
            <w:tcW w:w="1281" w:type="dxa"/>
            <w:tcBorders>
              <w:top w:val="single" w:color="auto" w:sz="6" w:space="0"/>
              <w:left w:val="single" w:color="auto" w:sz="4"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ascii="宋体" w:hAnsi="宋体" w:cs="Times New Roman"/>
                <w:color w:val="auto"/>
                <w:kern w:val="0"/>
                <w:sz w:val="21"/>
                <w:szCs w:val="21"/>
              </w:rPr>
              <w:t>二氧化硫</w:t>
            </w:r>
          </w:p>
        </w:tc>
        <w:tc>
          <w:tcPr>
            <w:tcW w:w="1711" w:type="dxa"/>
            <w:tcBorders>
              <w:top w:val="single" w:color="auto" w:sz="6" w:space="0"/>
              <w:left w:val="single" w:color="auto" w:sz="6"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cs="Times New Roman"/>
                <w:color w:val="auto"/>
                <w:kern w:val="0"/>
                <w:sz w:val="21"/>
                <w:szCs w:val="21"/>
              </w:rPr>
              <w:t>HJ482-2009</w:t>
            </w:r>
          </w:p>
        </w:tc>
        <w:tc>
          <w:tcPr>
            <w:tcW w:w="3196" w:type="dxa"/>
            <w:tcBorders>
              <w:top w:val="single" w:color="auto" w:sz="6" w:space="0"/>
              <w:left w:val="single" w:color="auto" w:sz="6"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ascii="宋体" w:hAnsi="宋体" w:cs="Times New Roman"/>
                <w:color w:val="auto"/>
                <w:kern w:val="0"/>
                <w:sz w:val="21"/>
                <w:szCs w:val="21"/>
              </w:rPr>
              <w:t>《环境空气二氧化硫的测定</w:t>
            </w:r>
            <w:r>
              <w:rPr>
                <w:rFonts w:cs="Times New Roman"/>
                <w:color w:val="auto"/>
                <w:kern w:val="0"/>
                <w:sz w:val="21"/>
                <w:szCs w:val="21"/>
              </w:rPr>
              <w:t xml:space="preserve"> </w:t>
            </w:r>
            <w:r>
              <w:rPr>
                <w:rFonts w:ascii="宋体" w:hAnsi="宋体" w:cs="Times New Roman"/>
                <w:color w:val="auto"/>
                <w:kern w:val="0"/>
                <w:sz w:val="21"/>
                <w:szCs w:val="21"/>
              </w:rPr>
              <w:t>甲醛吸收</w:t>
            </w:r>
            <w:r>
              <w:rPr>
                <w:rFonts w:cs="Times New Roman"/>
                <w:color w:val="auto"/>
                <w:kern w:val="0"/>
                <w:sz w:val="21"/>
                <w:szCs w:val="21"/>
              </w:rPr>
              <w:t>-</w:t>
            </w:r>
            <w:r>
              <w:rPr>
                <w:rFonts w:ascii="宋体" w:hAnsi="宋体" w:cs="Times New Roman"/>
                <w:color w:val="auto"/>
                <w:kern w:val="0"/>
                <w:sz w:val="21"/>
                <w:szCs w:val="21"/>
              </w:rPr>
              <w:t>副玫瑰苯胺分光光度法》</w:t>
            </w:r>
          </w:p>
        </w:tc>
        <w:tc>
          <w:tcPr>
            <w:tcW w:w="1359" w:type="dxa"/>
            <w:tcBorders>
              <w:top w:val="single" w:color="auto" w:sz="6" w:space="0"/>
              <w:left w:val="single" w:color="auto" w:sz="6"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ascii="宋体" w:hAnsi="宋体" w:cs="Times New Roman"/>
                <w:color w:val="auto"/>
                <w:kern w:val="0"/>
                <w:sz w:val="21"/>
                <w:szCs w:val="21"/>
              </w:rPr>
              <w:t>分光光度计</w:t>
            </w:r>
          </w:p>
        </w:tc>
        <w:tc>
          <w:tcPr>
            <w:tcW w:w="1248" w:type="dxa"/>
            <w:tcBorders>
              <w:top w:val="single" w:color="auto" w:sz="6" w:space="0"/>
              <w:left w:val="single" w:color="auto" w:sz="6" w:space="0"/>
              <w:bottom w:val="single" w:color="auto" w:sz="6" w:space="0"/>
              <w:right w:val="single" w:color="auto" w:sz="4" w:space="0"/>
            </w:tcBorders>
            <w:vAlign w:val="center"/>
          </w:tcPr>
          <w:p>
            <w:pPr>
              <w:autoSpaceDE w:val="0"/>
              <w:spacing w:line="280" w:lineRule="exact"/>
              <w:ind w:firstLine="0" w:firstLineChars="0"/>
              <w:jc w:val="center"/>
              <w:rPr>
                <w:rFonts w:cs="Times New Roman"/>
                <w:color w:val="auto"/>
                <w:kern w:val="0"/>
                <w:sz w:val="21"/>
                <w:szCs w:val="21"/>
              </w:rPr>
            </w:pPr>
            <w:r>
              <w:rPr>
                <w:rFonts w:cs="Times New Roman"/>
                <w:color w:val="auto"/>
                <w:kern w:val="0"/>
                <w:sz w:val="21"/>
                <w:szCs w:val="21"/>
              </w:rPr>
              <w:t>0.007mg/m</w:t>
            </w:r>
            <w:r>
              <w:rPr>
                <w:rFonts w:cs="Times New Roman"/>
                <w:color w:val="auto"/>
                <w:kern w:val="0"/>
                <w:sz w:val="21"/>
                <w:szCs w:val="21"/>
                <w:vertAlign w:val="superscript"/>
              </w:rPr>
              <w:t>3</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656" w:hRule="atLeast"/>
          <w:jc w:val="center"/>
        </w:trPr>
        <w:tc>
          <w:tcPr>
            <w:tcW w:w="1281" w:type="dxa"/>
            <w:tcBorders>
              <w:top w:val="single" w:color="auto" w:sz="6" w:space="0"/>
              <w:left w:val="single" w:color="auto" w:sz="4"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ascii="宋体" w:hAnsi="宋体" w:cs="Times New Roman"/>
                <w:color w:val="auto"/>
                <w:kern w:val="0"/>
                <w:sz w:val="21"/>
                <w:szCs w:val="21"/>
              </w:rPr>
              <w:t>二氧化硫</w:t>
            </w:r>
          </w:p>
        </w:tc>
        <w:tc>
          <w:tcPr>
            <w:tcW w:w="1711" w:type="dxa"/>
            <w:tcBorders>
              <w:top w:val="single" w:color="auto" w:sz="6" w:space="0"/>
              <w:left w:val="single" w:color="auto" w:sz="6"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cs="Times New Roman"/>
                <w:color w:val="auto"/>
                <w:kern w:val="0"/>
                <w:sz w:val="21"/>
                <w:szCs w:val="21"/>
              </w:rPr>
              <w:t>HJ57-2017</w:t>
            </w:r>
          </w:p>
        </w:tc>
        <w:tc>
          <w:tcPr>
            <w:tcW w:w="3196" w:type="dxa"/>
            <w:tcBorders>
              <w:top w:val="single" w:color="auto" w:sz="6" w:space="0"/>
              <w:left w:val="single" w:color="auto" w:sz="6" w:space="0"/>
              <w:bottom w:val="single" w:color="auto" w:sz="6" w:space="0"/>
              <w:right w:val="single" w:color="auto" w:sz="6" w:space="0"/>
            </w:tcBorders>
            <w:vAlign w:val="center"/>
          </w:tcPr>
          <w:p>
            <w:pPr>
              <w:widowControl/>
              <w:shd w:val="clear" w:color="auto" w:fill="FFFFFF"/>
              <w:autoSpaceDE w:val="0"/>
              <w:spacing w:line="280" w:lineRule="exact"/>
              <w:ind w:firstLine="0" w:firstLineChars="0"/>
              <w:jc w:val="center"/>
              <w:outlineLvl w:val="0"/>
              <w:rPr>
                <w:rFonts w:cs="Times New Roman"/>
                <w:b/>
                <w:bCs/>
                <w:color w:val="auto"/>
                <w:kern w:val="0"/>
                <w:sz w:val="21"/>
                <w:szCs w:val="21"/>
              </w:rPr>
            </w:pPr>
            <w:bookmarkStart w:id="79" w:name="_Toc31726"/>
            <w:bookmarkStart w:id="80" w:name="_Toc217900590"/>
            <w:r>
              <w:rPr>
                <w:rFonts w:ascii="宋体" w:hAnsi="宋体" w:cs="Times New Roman"/>
                <w:color w:val="auto"/>
                <w:kern w:val="0"/>
                <w:sz w:val="21"/>
                <w:szCs w:val="21"/>
              </w:rPr>
              <w:t>《</w:t>
            </w:r>
            <w:r>
              <w:rPr>
                <w:rFonts w:ascii="宋体" w:hAnsi="宋体" w:cs="Times New Roman"/>
                <w:color w:val="auto"/>
                <w:kern w:val="44"/>
                <w:sz w:val="21"/>
                <w:szCs w:val="21"/>
                <w:shd w:val="clear" w:color="auto" w:fill="FFFFFF"/>
              </w:rPr>
              <w:t>固定污染源废气</w:t>
            </w:r>
            <w:r>
              <w:rPr>
                <w:rFonts w:cs="Times New Roman"/>
                <w:color w:val="auto"/>
                <w:kern w:val="44"/>
                <w:sz w:val="21"/>
                <w:szCs w:val="21"/>
                <w:shd w:val="clear" w:color="auto" w:fill="FFFFFF"/>
              </w:rPr>
              <w:t xml:space="preserve"> </w:t>
            </w:r>
            <w:r>
              <w:rPr>
                <w:rFonts w:ascii="宋体" w:hAnsi="宋体" w:cs="Times New Roman"/>
                <w:color w:val="auto"/>
                <w:kern w:val="44"/>
                <w:sz w:val="21"/>
                <w:szCs w:val="21"/>
                <w:shd w:val="clear" w:color="auto" w:fill="FFFFFF"/>
              </w:rPr>
              <w:t>二氧化硫的测定</w:t>
            </w:r>
            <w:r>
              <w:rPr>
                <w:rFonts w:cs="Times New Roman"/>
                <w:color w:val="auto"/>
                <w:kern w:val="44"/>
                <w:sz w:val="21"/>
                <w:szCs w:val="21"/>
                <w:shd w:val="clear" w:color="auto" w:fill="FFFFFF"/>
              </w:rPr>
              <w:t xml:space="preserve"> </w:t>
            </w:r>
            <w:r>
              <w:rPr>
                <w:rFonts w:ascii="宋体" w:hAnsi="宋体" w:cs="Times New Roman"/>
                <w:color w:val="auto"/>
                <w:kern w:val="44"/>
                <w:sz w:val="21"/>
                <w:szCs w:val="21"/>
                <w:shd w:val="clear" w:color="auto" w:fill="FFFFFF"/>
              </w:rPr>
              <w:t>定电位电解法</w:t>
            </w:r>
            <w:r>
              <w:rPr>
                <w:rFonts w:ascii="宋体" w:hAnsi="宋体" w:cs="Times New Roman"/>
                <w:color w:val="auto"/>
                <w:kern w:val="0"/>
                <w:sz w:val="21"/>
                <w:szCs w:val="21"/>
              </w:rPr>
              <w:t>》</w:t>
            </w:r>
            <w:bookmarkEnd w:id="79"/>
            <w:bookmarkEnd w:id="80"/>
          </w:p>
        </w:tc>
        <w:tc>
          <w:tcPr>
            <w:tcW w:w="1359" w:type="dxa"/>
            <w:tcBorders>
              <w:top w:val="single" w:color="auto" w:sz="6" w:space="0"/>
              <w:left w:val="single" w:color="auto" w:sz="6"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ascii="宋体" w:hAnsi="宋体" w:cs="Times New Roman"/>
                <w:color w:val="auto"/>
                <w:kern w:val="0"/>
                <w:sz w:val="21"/>
                <w:szCs w:val="21"/>
              </w:rPr>
              <w:t>烟气烟尘测试仪</w:t>
            </w:r>
          </w:p>
        </w:tc>
        <w:tc>
          <w:tcPr>
            <w:tcW w:w="1248" w:type="dxa"/>
            <w:tcBorders>
              <w:top w:val="single" w:color="auto" w:sz="6" w:space="0"/>
              <w:left w:val="single" w:color="auto" w:sz="6" w:space="0"/>
              <w:bottom w:val="single" w:color="auto" w:sz="6" w:space="0"/>
              <w:right w:val="single" w:color="auto" w:sz="4" w:space="0"/>
            </w:tcBorders>
            <w:vAlign w:val="center"/>
          </w:tcPr>
          <w:p>
            <w:pPr>
              <w:autoSpaceDE w:val="0"/>
              <w:spacing w:line="280" w:lineRule="exact"/>
              <w:ind w:firstLine="0" w:firstLineChars="0"/>
              <w:jc w:val="center"/>
              <w:rPr>
                <w:rFonts w:cs="Times New Roman"/>
                <w:bCs/>
                <w:color w:val="auto"/>
                <w:sz w:val="21"/>
                <w:szCs w:val="21"/>
              </w:rPr>
            </w:pPr>
            <w:r>
              <w:rPr>
                <w:rFonts w:cs="Times New Roman"/>
                <w:color w:val="auto"/>
                <w:kern w:val="0"/>
                <w:sz w:val="21"/>
                <w:szCs w:val="21"/>
              </w:rPr>
              <w:t>3mg/</w:t>
            </w:r>
            <w:r>
              <w:rPr>
                <w:rFonts w:cs="Times New Roman"/>
                <w:color w:val="auto"/>
                <w:sz w:val="21"/>
                <w:szCs w:val="21"/>
              </w:rPr>
              <w:t>m</w:t>
            </w:r>
            <w:r>
              <w:rPr>
                <w:rFonts w:cs="Times New Roman"/>
                <w:color w:val="auto"/>
                <w:sz w:val="21"/>
                <w:szCs w:val="21"/>
                <w:vertAlign w:val="superscript"/>
              </w:rPr>
              <w:t>3</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656" w:hRule="atLeast"/>
          <w:jc w:val="center"/>
        </w:trPr>
        <w:tc>
          <w:tcPr>
            <w:tcW w:w="1281" w:type="dxa"/>
            <w:tcBorders>
              <w:top w:val="single" w:color="auto" w:sz="6" w:space="0"/>
              <w:left w:val="single" w:color="auto" w:sz="4"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ascii="宋体" w:hAnsi="宋体" w:cs="Times New Roman"/>
                <w:color w:val="auto"/>
                <w:kern w:val="0"/>
                <w:sz w:val="21"/>
                <w:szCs w:val="21"/>
              </w:rPr>
              <w:t>氮氧化物</w:t>
            </w:r>
          </w:p>
        </w:tc>
        <w:tc>
          <w:tcPr>
            <w:tcW w:w="1711" w:type="dxa"/>
            <w:tcBorders>
              <w:top w:val="single" w:color="auto" w:sz="6" w:space="0"/>
              <w:left w:val="single" w:color="auto" w:sz="6"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cs="Times New Roman"/>
                <w:color w:val="auto"/>
                <w:kern w:val="0"/>
                <w:sz w:val="21"/>
                <w:szCs w:val="21"/>
              </w:rPr>
              <w:t>HJ479-2009</w:t>
            </w:r>
          </w:p>
        </w:tc>
        <w:tc>
          <w:tcPr>
            <w:tcW w:w="3196" w:type="dxa"/>
            <w:tcBorders>
              <w:top w:val="single" w:color="auto" w:sz="6" w:space="0"/>
              <w:left w:val="single" w:color="auto" w:sz="6"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ascii="宋体" w:hAnsi="宋体" w:cs="Times New Roman"/>
                <w:color w:val="auto"/>
                <w:kern w:val="0"/>
                <w:sz w:val="21"/>
                <w:szCs w:val="21"/>
              </w:rPr>
              <w:t>《环境空气</w:t>
            </w:r>
            <w:r>
              <w:rPr>
                <w:rFonts w:cs="Times New Roman"/>
                <w:color w:val="auto"/>
                <w:kern w:val="0"/>
                <w:sz w:val="21"/>
                <w:szCs w:val="21"/>
              </w:rPr>
              <w:t xml:space="preserve"> </w:t>
            </w:r>
            <w:r>
              <w:rPr>
                <w:rFonts w:ascii="宋体" w:hAnsi="宋体" w:cs="Times New Roman"/>
                <w:color w:val="auto"/>
                <w:kern w:val="0"/>
                <w:sz w:val="21"/>
                <w:szCs w:val="21"/>
              </w:rPr>
              <w:t>氮氧化物的测定</w:t>
            </w:r>
            <w:r>
              <w:rPr>
                <w:rFonts w:cs="Times New Roman"/>
                <w:color w:val="auto"/>
                <w:kern w:val="0"/>
                <w:sz w:val="21"/>
                <w:szCs w:val="21"/>
              </w:rPr>
              <w:t xml:space="preserve"> </w:t>
            </w:r>
            <w:r>
              <w:rPr>
                <w:rFonts w:ascii="宋体" w:hAnsi="宋体" w:cs="Times New Roman"/>
                <w:color w:val="auto"/>
                <w:kern w:val="0"/>
                <w:sz w:val="21"/>
                <w:szCs w:val="21"/>
              </w:rPr>
              <w:t>盐酸萘乙二胺分光光度法》</w:t>
            </w:r>
          </w:p>
        </w:tc>
        <w:tc>
          <w:tcPr>
            <w:tcW w:w="1359" w:type="dxa"/>
            <w:tcBorders>
              <w:top w:val="single" w:color="auto" w:sz="6" w:space="0"/>
              <w:left w:val="single" w:color="auto" w:sz="6"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ascii="宋体" w:hAnsi="宋体" w:cs="Times New Roman"/>
                <w:color w:val="auto"/>
                <w:kern w:val="0"/>
                <w:sz w:val="21"/>
                <w:szCs w:val="21"/>
              </w:rPr>
              <w:t>分光光度计</w:t>
            </w:r>
          </w:p>
        </w:tc>
        <w:tc>
          <w:tcPr>
            <w:tcW w:w="1248" w:type="dxa"/>
            <w:tcBorders>
              <w:top w:val="single" w:color="auto" w:sz="6" w:space="0"/>
              <w:left w:val="single" w:color="auto" w:sz="6" w:space="0"/>
              <w:bottom w:val="single" w:color="auto" w:sz="6" w:space="0"/>
              <w:right w:val="single" w:color="auto" w:sz="4" w:space="0"/>
            </w:tcBorders>
            <w:vAlign w:val="center"/>
          </w:tcPr>
          <w:p>
            <w:pPr>
              <w:autoSpaceDE w:val="0"/>
              <w:spacing w:line="280" w:lineRule="exact"/>
              <w:ind w:firstLine="0" w:firstLineChars="0"/>
              <w:jc w:val="center"/>
              <w:rPr>
                <w:rFonts w:cs="Times New Roman"/>
                <w:color w:val="auto"/>
                <w:kern w:val="0"/>
                <w:sz w:val="21"/>
                <w:szCs w:val="21"/>
              </w:rPr>
            </w:pPr>
            <w:r>
              <w:rPr>
                <w:rFonts w:cs="Times New Roman"/>
                <w:color w:val="auto"/>
                <w:kern w:val="0"/>
                <w:sz w:val="21"/>
                <w:szCs w:val="21"/>
              </w:rPr>
              <w:t>0.005mg/</w:t>
            </w:r>
            <w:r>
              <w:rPr>
                <w:rFonts w:cs="Times New Roman"/>
                <w:color w:val="auto"/>
                <w:sz w:val="21"/>
                <w:szCs w:val="21"/>
              </w:rPr>
              <w:t>m</w:t>
            </w:r>
            <w:r>
              <w:rPr>
                <w:rFonts w:cs="Times New Roman"/>
                <w:color w:val="auto"/>
                <w:sz w:val="21"/>
                <w:szCs w:val="21"/>
                <w:vertAlign w:val="superscript"/>
              </w:rPr>
              <w:t>3</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656" w:hRule="atLeast"/>
          <w:jc w:val="center"/>
        </w:trPr>
        <w:tc>
          <w:tcPr>
            <w:tcW w:w="1281" w:type="dxa"/>
            <w:tcBorders>
              <w:top w:val="single" w:color="auto" w:sz="6" w:space="0"/>
              <w:left w:val="single" w:color="auto" w:sz="4"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ascii="宋体" w:hAnsi="宋体" w:cs="Times New Roman"/>
                <w:color w:val="auto"/>
                <w:kern w:val="0"/>
                <w:sz w:val="21"/>
                <w:szCs w:val="21"/>
              </w:rPr>
              <w:t>氮氧化物</w:t>
            </w:r>
          </w:p>
        </w:tc>
        <w:tc>
          <w:tcPr>
            <w:tcW w:w="1711" w:type="dxa"/>
            <w:tcBorders>
              <w:top w:val="single" w:color="auto" w:sz="6" w:space="0"/>
              <w:left w:val="single" w:color="auto" w:sz="6"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cs="Times New Roman"/>
                <w:color w:val="auto"/>
                <w:kern w:val="0"/>
                <w:sz w:val="21"/>
                <w:szCs w:val="21"/>
              </w:rPr>
              <w:t>HJ693-2014</w:t>
            </w:r>
          </w:p>
        </w:tc>
        <w:tc>
          <w:tcPr>
            <w:tcW w:w="3196" w:type="dxa"/>
            <w:tcBorders>
              <w:top w:val="single" w:color="auto" w:sz="6" w:space="0"/>
              <w:left w:val="single" w:color="auto" w:sz="6" w:space="0"/>
              <w:bottom w:val="single" w:color="auto" w:sz="6" w:space="0"/>
              <w:right w:val="single" w:color="auto" w:sz="6" w:space="0"/>
            </w:tcBorders>
            <w:vAlign w:val="center"/>
          </w:tcPr>
          <w:p>
            <w:pPr>
              <w:widowControl/>
              <w:shd w:val="clear" w:color="auto" w:fill="FFFFFF"/>
              <w:autoSpaceDE w:val="0"/>
              <w:spacing w:line="280" w:lineRule="exact"/>
              <w:ind w:firstLine="0" w:firstLineChars="0"/>
              <w:jc w:val="center"/>
              <w:outlineLvl w:val="0"/>
              <w:rPr>
                <w:rFonts w:cs="Times New Roman"/>
                <w:b/>
                <w:bCs/>
                <w:color w:val="auto"/>
                <w:kern w:val="0"/>
                <w:sz w:val="21"/>
                <w:szCs w:val="21"/>
              </w:rPr>
            </w:pPr>
            <w:bookmarkStart w:id="81" w:name="_Toc217900591"/>
            <w:bookmarkStart w:id="82" w:name="_Toc2533"/>
            <w:r>
              <w:rPr>
                <w:rFonts w:ascii="宋体" w:hAnsi="宋体" w:cs="Times New Roman"/>
                <w:color w:val="auto"/>
                <w:kern w:val="0"/>
                <w:sz w:val="21"/>
                <w:szCs w:val="21"/>
              </w:rPr>
              <w:t>《</w:t>
            </w:r>
            <w:r>
              <w:rPr>
                <w:rFonts w:ascii="宋体" w:hAnsi="宋体" w:cs="Times New Roman"/>
                <w:color w:val="auto"/>
                <w:kern w:val="44"/>
                <w:sz w:val="21"/>
                <w:szCs w:val="21"/>
                <w:shd w:val="clear" w:color="auto" w:fill="FFFFFF"/>
              </w:rPr>
              <w:t>固定污染源废气</w:t>
            </w:r>
            <w:r>
              <w:rPr>
                <w:rFonts w:cs="Times New Roman"/>
                <w:color w:val="auto"/>
                <w:kern w:val="44"/>
                <w:sz w:val="21"/>
                <w:szCs w:val="21"/>
                <w:shd w:val="clear" w:color="auto" w:fill="FFFFFF"/>
              </w:rPr>
              <w:t xml:space="preserve"> </w:t>
            </w:r>
            <w:r>
              <w:rPr>
                <w:rFonts w:ascii="宋体" w:hAnsi="宋体" w:cs="Times New Roman"/>
                <w:color w:val="auto"/>
                <w:kern w:val="44"/>
                <w:sz w:val="21"/>
                <w:szCs w:val="21"/>
                <w:shd w:val="clear" w:color="auto" w:fill="FFFFFF"/>
              </w:rPr>
              <w:t>氮氧化物的测定</w:t>
            </w:r>
            <w:r>
              <w:rPr>
                <w:rFonts w:cs="Times New Roman"/>
                <w:color w:val="auto"/>
                <w:kern w:val="44"/>
                <w:sz w:val="21"/>
                <w:szCs w:val="21"/>
                <w:shd w:val="clear" w:color="auto" w:fill="FFFFFF"/>
              </w:rPr>
              <w:t xml:space="preserve"> </w:t>
            </w:r>
            <w:r>
              <w:rPr>
                <w:rFonts w:ascii="宋体" w:hAnsi="宋体" w:cs="Times New Roman"/>
                <w:color w:val="auto"/>
                <w:kern w:val="44"/>
                <w:sz w:val="21"/>
                <w:szCs w:val="21"/>
                <w:shd w:val="clear" w:color="auto" w:fill="FFFFFF"/>
              </w:rPr>
              <w:t>定电位电解法</w:t>
            </w:r>
            <w:r>
              <w:rPr>
                <w:rFonts w:ascii="宋体" w:hAnsi="宋体" w:cs="Times New Roman"/>
                <w:color w:val="auto"/>
                <w:kern w:val="0"/>
                <w:sz w:val="21"/>
                <w:szCs w:val="21"/>
              </w:rPr>
              <w:t>》</w:t>
            </w:r>
            <w:bookmarkEnd w:id="81"/>
            <w:bookmarkEnd w:id="82"/>
          </w:p>
        </w:tc>
        <w:tc>
          <w:tcPr>
            <w:tcW w:w="1359" w:type="dxa"/>
            <w:tcBorders>
              <w:top w:val="single" w:color="auto" w:sz="6" w:space="0"/>
              <w:left w:val="single" w:color="auto" w:sz="6"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ascii="宋体" w:hAnsi="宋体" w:cs="Times New Roman"/>
                <w:color w:val="auto"/>
                <w:kern w:val="0"/>
                <w:sz w:val="21"/>
                <w:szCs w:val="21"/>
              </w:rPr>
              <w:t>烟气烟尘测试仪</w:t>
            </w:r>
          </w:p>
        </w:tc>
        <w:tc>
          <w:tcPr>
            <w:tcW w:w="1248" w:type="dxa"/>
            <w:tcBorders>
              <w:top w:val="single" w:color="auto" w:sz="6" w:space="0"/>
              <w:left w:val="single" w:color="auto" w:sz="6" w:space="0"/>
              <w:bottom w:val="single" w:color="auto" w:sz="6" w:space="0"/>
              <w:right w:val="single" w:color="auto" w:sz="4" w:space="0"/>
            </w:tcBorders>
            <w:vAlign w:val="center"/>
          </w:tcPr>
          <w:p>
            <w:pPr>
              <w:autoSpaceDE w:val="0"/>
              <w:spacing w:line="280" w:lineRule="exact"/>
              <w:ind w:firstLine="0" w:firstLineChars="0"/>
              <w:jc w:val="center"/>
              <w:rPr>
                <w:rFonts w:cs="Times New Roman"/>
                <w:color w:val="auto"/>
                <w:sz w:val="21"/>
                <w:szCs w:val="21"/>
              </w:rPr>
            </w:pPr>
            <w:r>
              <w:rPr>
                <w:rFonts w:cs="Times New Roman"/>
                <w:color w:val="auto"/>
                <w:kern w:val="0"/>
                <w:sz w:val="21"/>
                <w:szCs w:val="21"/>
              </w:rPr>
              <w:t>3mg/</w:t>
            </w:r>
            <w:r>
              <w:rPr>
                <w:rFonts w:cs="Times New Roman"/>
                <w:color w:val="auto"/>
                <w:sz w:val="21"/>
                <w:szCs w:val="21"/>
              </w:rPr>
              <w:t>m</w:t>
            </w:r>
            <w:r>
              <w:rPr>
                <w:rFonts w:cs="Times New Roman"/>
                <w:color w:val="auto"/>
                <w:sz w:val="21"/>
                <w:szCs w:val="21"/>
                <w:vertAlign w:val="superscript"/>
              </w:rPr>
              <w:t>3</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605" w:hRule="atLeast"/>
          <w:jc w:val="center"/>
        </w:trPr>
        <w:tc>
          <w:tcPr>
            <w:tcW w:w="1281" w:type="dxa"/>
            <w:tcBorders>
              <w:top w:val="single" w:color="auto" w:sz="6" w:space="0"/>
              <w:left w:val="single" w:color="auto" w:sz="4"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ascii="宋体" w:hAnsi="宋体" w:cs="Times New Roman"/>
                <w:color w:val="auto"/>
                <w:kern w:val="0"/>
                <w:sz w:val="21"/>
                <w:szCs w:val="21"/>
              </w:rPr>
              <w:t>油烟</w:t>
            </w:r>
          </w:p>
        </w:tc>
        <w:tc>
          <w:tcPr>
            <w:tcW w:w="1711" w:type="dxa"/>
            <w:tcBorders>
              <w:top w:val="single" w:color="auto" w:sz="6" w:space="0"/>
              <w:left w:val="single" w:color="auto" w:sz="6"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cs="Times New Roman"/>
                <w:color w:val="auto"/>
                <w:kern w:val="0"/>
                <w:sz w:val="21"/>
                <w:szCs w:val="21"/>
              </w:rPr>
              <w:t>HJ1077-2019</w:t>
            </w:r>
          </w:p>
        </w:tc>
        <w:tc>
          <w:tcPr>
            <w:tcW w:w="3196" w:type="dxa"/>
            <w:tcBorders>
              <w:top w:val="single" w:color="auto" w:sz="6" w:space="0"/>
              <w:left w:val="single" w:color="auto" w:sz="6"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ascii="宋体" w:hAnsi="宋体" w:cs="Times New Roman"/>
                <w:color w:val="auto"/>
                <w:kern w:val="0"/>
                <w:sz w:val="21"/>
                <w:szCs w:val="21"/>
              </w:rPr>
              <w:t>《固定污染源废气油烟和油雾的测定》</w:t>
            </w:r>
          </w:p>
        </w:tc>
        <w:tc>
          <w:tcPr>
            <w:tcW w:w="1359" w:type="dxa"/>
            <w:tcBorders>
              <w:top w:val="single" w:color="auto" w:sz="6" w:space="0"/>
              <w:left w:val="single" w:color="auto" w:sz="6"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ascii="宋体" w:hAnsi="宋体" w:cs="Times New Roman"/>
                <w:color w:val="auto"/>
                <w:kern w:val="0"/>
                <w:sz w:val="21"/>
                <w:szCs w:val="21"/>
              </w:rPr>
              <w:t>红外分光光度计</w:t>
            </w:r>
          </w:p>
        </w:tc>
        <w:tc>
          <w:tcPr>
            <w:tcW w:w="1248" w:type="dxa"/>
            <w:tcBorders>
              <w:top w:val="single" w:color="auto" w:sz="6" w:space="0"/>
              <w:left w:val="single" w:color="auto" w:sz="6" w:space="0"/>
              <w:bottom w:val="single" w:color="auto" w:sz="6" w:space="0"/>
              <w:right w:val="single" w:color="auto" w:sz="4" w:space="0"/>
            </w:tcBorders>
            <w:vAlign w:val="center"/>
          </w:tcPr>
          <w:p>
            <w:pPr>
              <w:autoSpaceDE w:val="0"/>
              <w:spacing w:line="280" w:lineRule="exact"/>
              <w:ind w:firstLine="0" w:firstLineChars="0"/>
              <w:jc w:val="center"/>
              <w:rPr>
                <w:rFonts w:cs="Times New Roman"/>
                <w:color w:val="auto"/>
                <w:sz w:val="21"/>
                <w:szCs w:val="21"/>
              </w:rPr>
            </w:pPr>
            <w:r>
              <w:rPr>
                <w:rFonts w:cs="Times New Roman"/>
                <w:color w:val="auto"/>
                <w:kern w:val="0"/>
                <w:sz w:val="21"/>
                <w:szCs w:val="21"/>
              </w:rPr>
              <w:t>0.1mg/</w:t>
            </w:r>
            <w:r>
              <w:rPr>
                <w:rFonts w:cs="Times New Roman"/>
                <w:color w:val="auto"/>
                <w:sz w:val="21"/>
                <w:szCs w:val="21"/>
              </w:rPr>
              <w:t>m</w:t>
            </w:r>
            <w:r>
              <w:rPr>
                <w:rFonts w:cs="Times New Roman"/>
                <w:color w:val="auto"/>
                <w:sz w:val="21"/>
                <w:szCs w:val="21"/>
                <w:vertAlign w:val="superscript"/>
              </w:rPr>
              <w:t>3</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656" w:hRule="atLeast"/>
          <w:jc w:val="center"/>
        </w:trPr>
        <w:tc>
          <w:tcPr>
            <w:tcW w:w="1281" w:type="dxa"/>
            <w:tcBorders>
              <w:top w:val="single" w:color="auto" w:sz="6" w:space="0"/>
              <w:left w:val="single" w:color="auto" w:sz="4" w:space="0"/>
              <w:bottom w:val="single" w:color="auto" w:sz="6"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ascii="宋体" w:hAnsi="宋体" w:cs="Times New Roman"/>
                <w:color w:val="auto"/>
                <w:sz w:val="21"/>
                <w:szCs w:val="21"/>
              </w:rPr>
              <w:t>总</w:t>
            </w:r>
            <w:r>
              <w:rPr>
                <w:rFonts w:cs="Times New Roman"/>
                <w:color w:val="auto"/>
                <w:sz w:val="21"/>
                <w:szCs w:val="21"/>
              </w:rPr>
              <w:t>VOCs</w:t>
            </w:r>
          </w:p>
        </w:tc>
        <w:tc>
          <w:tcPr>
            <w:tcW w:w="1711" w:type="dxa"/>
            <w:tcBorders>
              <w:top w:val="single" w:color="auto" w:sz="6" w:space="0"/>
              <w:left w:val="single" w:color="auto" w:sz="6" w:space="0"/>
              <w:bottom w:val="single" w:color="auto" w:sz="6" w:space="0"/>
              <w:right w:val="single" w:color="auto" w:sz="6" w:space="0"/>
            </w:tcBorders>
            <w:vAlign w:val="center"/>
          </w:tcPr>
          <w:p>
            <w:pPr>
              <w:spacing w:line="240" w:lineRule="auto"/>
              <w:ind w:firstLine="0" w:firstLineChars="0"/>
              <w:jc w:val="center"/>
              <w:rPr>
                <w:rFonts w:cs="Times New Roman"/>
                <w:color w:val="auto"/>
                <w:kern w:val="0"/>
                <w:sz w:val="21"/>
                <w:szCs w:val="21"/>
              </w:rPr>
            </w:pPr>
            <w:r>
              <w:rPr>
                <w:rFonts w:cs="Times New Roman"/>
                <w:color w:val="auto"/>
                <w:kern w:val="0"/>
                <w:sz w:val="21"/>
                <w:szCs w:val="21"/>
              </w:rPr>
              <w:t>DB44/816-2010</w:t>
            </w:r>
          </w:p>
        </w:tc>
        <w:tc>
          <w:tcPr>
            <w:tcW w:w="3196" w:type="dxa"/>
            <w:tcBorders>
              <w:top w:val="single" w:color="auto" w:sz="6" w:space="0"/>
              <w:left w:val="single" w:color="auto" w:sz="6" w:space="0"/>
              <w:bottom w:val="single" w:color="auto" w:sz="6" w:space="0"/>
              <w:right w:val="single" w:color="auto" w:sz="6" w:space="0"/>
            </w:tcBorders>
            <w:vAlign w:val="center"/>
          </w:tcPr>
          <w:p>
            <w:pPr>
              <w:widowControl/>
              <w:shd w:val="clear" w:color="auto" w:fill="FFFFFF"/>
              <w:spacing w:before="100" w:beforeAutospacing="1" w:line="240" w:lineRule="auto"/>
              <w:ind w:firstLine="0" w:firstLineChars="0"/>
              <w:jc w:val="center"/>
              <w:outlineLvl w:val="0"/>
              <w:rPr>
                <w:rFonts w:cs="Times New Roman"/>
                <w:color w:val="auto"/>
                <w:kern w:val="0"/>
                <w:sz w:val="21"/>
                <w:szCs w:val="21"/>
              </w:rPr>
            </w:pPr>
            <w:bookmarkStart w:id="83" w:name="_Toc17078"/>
            <w:bookmarkStart w:id="84" w:name="_Toc217900592"/>
            <w:r>
              <w:rPr>
                <w:rFonts w:ascii="宋体" w:hAnsi="宋体" w:cs="Times New Roman"/>
                <w:color w:val="auto"/>
                <w:kern w:val="0"/>
                <w:sz w:val="21"/>
                <w:szCs w:val="21"/>
              </w:rPr>
              <w:t>《表面涂装（汽车制造业）挥发性有机化合物排放标准》</w:t>
            </w:r>
            <w:bookmarkEnd w:id="83"/>
            <w:bookmarkEnd w:id="84"/>
          </w:p>
        </w:tc>
        <w:tc>
          <w:tcPr>
            <w:tcW w:w="1359" w:type="dxa"/>
            <w:tcBorders>
              <w:top w:val="single" w:color="auto" w:sz="6" w:space="0"/>
              <w:left w:val="single" w:color="auto" w:sz="6" w:space="0"/>
              <w:bottom w:val="single" w:color="auto" w:sz="6" w:space="0"/>
              <w:right w:val="single" w:color="auto" w:sz="6" w:space="0"/>
            </w:tcBorders>
            <w:vAlign w:val="center"/>
          </w:tcPr>
          <w:p>
            <w:pPr>
              <w:spacing w:line="240" w:lineRule="auto"/>
              <w:ind w:firstLine="0" w:firstLineChars="0"/>
              <w:jc w:val="center"/>
              <w:rPr>
                <w:rFonts w:cs="Times New Roman"/>
                <w:color w:val="auto"/>
                <w:kern w:val="0"/>
                <w:sz w:val="21"/>
                <w:szCs w:val="21"/>
              </w:rPr>
            </w:pPr>
            <w:r>
              <w:rPr>
                <w:rFonts w:ascii="宋体" w:hAnsi="宋体" w:cs="Times New Roman"/>
                <w:color w:val="auto"/>
                <w:kern w:val="0"/>
                <w:sz w:val="21"/>
                <w:szCs w:val="21"/>
              </w:rPr>
              <w:t>气相色谱仪</w:t>
            </w:r>
          </w:p>
        </w:tc>
        <w:tc>
          <w:tcPr>
            <w:tcW w:w="1248" w:type="dxa"/>
            <w:tcBorders>
              <w:top w:val="single" w:color="auto" w:sz="6" w:space="0"/>
              <w:left w:val="single" w:color="auto" w:sz="6" w:space="0"/>
              <w:bottom w:val="single" w:color="auto" w:sz="6"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0.01mg/m</w:t>
            </w:r>
            <w:r>
              <w:rPr>
                <w:rFonts w:cs="Times New Roman"/>
                <w:color w:val="auto"/>
                <w:sz w:val="21"/>
                <w:szCs w:val="21"/>
                <w:vertAlign w:val="superscript"/>
              </w:rPr>
              <w:t>3</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656" w:hRule="atLeast"/>
          <w:jc w:val="center"/>
        </w:trPr>
        <w:tc>
          <w:tcPr>
            <w:tcW w:w="1281" w:type="dxa"/>
            <w:tcBorders>
              <w:top w:val="single" w:color="auto" w:sz="6" w:space="0"/>
              <w:left w:val="single" w:color="auto" w:sz="4" w:space="0"/>
              <w:bottom w:val="single" w:color="auto" w:sz="4" w:space="0"/>
              <w:right w:val="single" w:color="auto" w:sz="6" w:space="0"/>
            </w:tcBorders>
            <w:vAlign w:val="center"/>
          </w:tcPr>
          <w:p>
            <w:pPr>
              <w:autoSpaceDE w:val="0"/>
              <w:spacing w:line="280" w:lineRule="exact"/>
              <w:ind w:firstLine="0" w:firstLineChars="0"/>
              <w:jc w:val="center"/>
              <w:rPr>
                <w:rFonts w:cs="Times New Roman"/>
                <w:color w:val="auto"/>
                <w:kern w:val="0"/>
                <w:sz w:val="21"/>
                <w:szCs w:val="21"/>
              </w:rPr>
            </w:pPr>
            <w:r>
              <w:rPr>
                <w:rFonts w:ascii="宋体" w:hAnsi="宋体" w:cs="Times New Roman"/>
                <w:color w:val="auto"/>
                <w:kern w:val="0"/>
                <w:sz w:val="21"/>
                <w:szCs w:val="21"/>
              </w:rPr>
              <w:t>二甲苯</w:t>
            </w:r>
          </w:p>
        </w:tc>
        <w:tc>
          <w:tcPr>
            <w:tcW w:w="1711" w:type="dxa"/>
            <w:tcBorders>
              <w:top w:val="single" w:color="auto" w:sz="6" w:space="0"/>
              <w:left w:val="single" w:color="auto" w:sz="6" w:space="0"/>
              <w:bottom w:val="single" w:color="auto" w:sz="4" w:space="0"/>
              <w:right w:val="single" w:color="auto" w:sz="6" w:space="0"/>
            </w:tcBorders>
            <w:vAlign w:val="center"/>
          </w:tcPr>
          <w:p>
            <w:pPr>
              <w:spacing w:line="240" w:lineRule="auto"/>
              <w:ind w:firstLine="0" w:firstLineChars="0"/>
              <w:jc w:val="center"/>
              <w:rPr>
                <w:rFonts w:cs="Times New Roman"/>
                <w:color w:val="auto"/>
                <w:kern w:val="0"/>
                <w:sz w:val="21"/>
                <w:szCs w:val="21"/>
              </w:rPr>
            </w:pPr>
            <w:r>
              <w:rPr>
                <w:rFonts w:cs="Times New Roman"/>
                <w:color w:val="auto"/>
                <w:kern w:val="0"/>
                <w:sz w:val="21"/>
                <w:szCs w:val="21"/>
              </w:rPr>
              <w:t>DB44/816-2010</w:t>
            </w:r>
          </w:p>
        </w:tc>
        <w:tc>
          <w:tcPr>
            <w:tcW w:w="3196" w:type="dxa"/>
            <w:tcBorders>
              <w:top w:val="single" w:color="auto" w:sz="6" w:space="0"/>
              <w:left w:val="single" w:color="auto" w:sz="6" w:space="0"/>
              <w:bottom w:val="single" w:color="auto" w:sz="4" w:space="0"/>
              <w:right w:val="single" w:color="auto" w:sz="6" w:space="0"/>
            </w:tcBorders>
            <w:vAlign w:val="center"/>
          </w:tcPr>
          <w:p>
            <w:pPr>
              <w:widowControl/>
              <w:shd w:val="clear" w:color="auto" w:fill="FFFFFF"/>
              <w:spacing w:before="100" w:beforeAutospacing="1" w:line="240" w:lineRule="auto"/>
              <w:ind w:firstLine="0" w:firstLineChars="0"/>
              <w:jc w:val="center"/>
              <w:outlineLvl w:val="0"/>
              <w:rPr>
                <w:rFonts w:cs="Times New Roman"/>
                <w:color w:val="auto"/>
                <w:kern w:val="0"/>
                <w:sz w:val="21"/>
                <w:szCs w:val="21"/>
              </w:rPr>
            </w:pPr>
            <w:bookmarkStart w:id="85" w:name="_Toc12437"/>
            <w:bookmarkStart w:id="86" w:name="_Toc217900593"/>
            <w:r>
              <w:rPr>
                <w:rFonts w:ascii="宋体" w:hAnsi="宋体" w:cs="Times New Roman"/>
                <w:color w:val="auto"/>
                <w:kern w:val="0"/>
                <w:sz w:val="21"/>
                <w:szCs w:val="21"/>
              </w:rPr>
              <w:t>《表面涂装（汽车制造业）挥发性有机化合物排放标准》</w:t>
            </w:r>
            <w:bookmarkEnd w:id="85"/>
            <w:bookmarkEnd w:id="86"/>
          </w:p>
        </w:tc>
        <w:tc>
          <w:tcPr>
            <w:tcW w:w="1359" w:type="dxa"/>
            <w:tcBorders>
              <w:top w:val="single" w:color="auto" w:sz="6" w:space="0"/>
              <w:left w:val="single" w:color="auto" w:sz="6" w:space="0"/>
              <w:bottom w:val="single" w:color="auto" w:sz="4" w:space="0"/>
              <w:right w:val="single" w:color="auto" w:sz="6" w:space="0"/>
            </w:tcBorders>
            <w:vAlign w:val="center"/>
          </w:tcPr>
          <w:p>
            <w:pPr>
              <w:spacing w:line="240" w:lineRule="auto"/>
              <w:ind w:firstLine="0" w:firstLineChars="0"/>
              <w:jc w:val="center"/>
              <w:rPr>
                <w:rFonts w:cs="Times New Roman"/>
                <w:color w:val="auto"/>
                <w:kern w:val="0"/>
                <w:sz w:val="21"/>
                <w:szCs w:val="21"/>
              </w:rPr>
            </w:pPr>
            <w:r>
              <w:rPr>
                <w:rFonts w:ascii="宋体" w:hAnsi="宋体" w:cs="Times New Roman"/>
                <w:color w:val="auto"/>
                <w:kern w:val="0"/>
                <w:sz w:val="21"/>
                <w:szCs w:val="21"/>
              </w:rPr>
              <w:t>气相色谱仪</w:t>
            </w:r>
          </w:p>
        </w:tc>
        <w:tc>
          <w:tcPr>
            <w:tcW w:w="1248" w:type="dxa"/>
            <w:tcBorders>
              <w:top w:val="single" w:color="auto" w:sz="6" w:space="0"/>
              <w:left w:val="single" w:color="auto" w:sz="6"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0.01mg/m</w:t>
            </w:r>
            <w:r>
              <w:rPr>
                <w:rFonts w:cs="Times New Roman"/>
                <w:color w:val="auto"/>
                <w:sz w:val="21"/>
                <w:szCs w:val="21"/>
                <w:vertAlign w:val="superscript"/>
              </w:rPr>
              <w:t>3</w:t>
            </w:r>
          </w:p>
        </w:tc>
      </w:tr>
    </w:tbl>
    <w:p>
      <w:pPr>
        <w:pStyle w:val="37"/>
        <w:snapToGrid w:val="0"/>
        <w:rPr>
          <w:color w:val="auto"/>
          <w:highlight w:val="yellow"/>
        </w:rPr>
      </w:pPr>
    </w:p>
    <w:bookmarkEnd w:id="74"/>
    <w:p>
      <w:pPr>
        <w:pStyle w:val="3"/>
        <w:numPr>
          <w:ilvl w:val="0"/>
          <w:numId w:val="0"/>
        </w:numPr>
        <w:ind w:left="113"/>
        <w:rPr>
          <w:color w:val="auto"/>
        </w:rPr>
      </w:pPr>
      <w:bookmarkStart w:id="87" w:name="_Toc7351"/>
      <w:r>
        <w:rPr>
          <w:rFonts w:hint="eastAsia"/>
          <w:color w:val="auto"/>
        </w:rPr>
        <w:t>8</w:t>
      </w:r>
      <w:r>
        <w:rPr>
          <w:color w:val="auto"/>
        </w:rPr>
        <w:t>.2</w:t>
      </w:r>
      <w:r>
        <w:rPr>
          <w:rFonts w:hint="eastAsia"/>
          <w:color w:val="auto"/>
        </w:rPr>
        <w:t>人员资质</w:t>
      </w:r>
      <w:bookmarkEnd w:id="87"/>
    </w:p>
    <w:p>
      <w:pPr>
        <w:ind w:firstLine="480"/>
        <w:rPr>
          <w:rFonts w:cs="Times New Roman"/>
          <w:color w:val="auto"/>
          <w:szCs w:val="24"/>
        </w:rPr>
      </w:pPr>
      <w:r>
        <w:rPr>
          <w:rFonts w:hint="eastAsia" w:ascii="宋体" w:hAnsi="宋体" w:cs="Times New Roman"/>
          <w:color w:val="auto"/>
          <w:szCs w:val="24"/>
        </w:rPr>
        <w:t>本次验收监测过程中，委托茂名市广润检测有限公司进行采样监测，参与本次验收监测的采样人员、分析测试人员均取得了相应的技术资格上岗证。</w:t>
      </w:r>
    </w:p>
    <w:p>
      <w:pPr>
        <w:pStyle w:val="3"/>
        <w:numPr>
          <w:ilvl w:val="0"/>
          <w:numId w:val="0"/>
        </w:numPr>
        <w:spacing w:before="312" w:beforeLines="100"/>
        <w:ind w:left="113"/>
        <w:rPr>
          <w:color w:val="auto"/>
        </w:rPr>
      </w:pPr>
      <w:bookmarkStart w:id="88" w:name="_Toc31490"/>
      <w:r>
        <w:rPr>
          <w:rFonts w:hint="eastAsia"/>
          <w:color w:val="auto"/>
        </w:rPr>
        <w:t>8</w:t>
      </w:r>
      <w:r>
        <w:rPr>
          <w:color w:val="auto"/>
        </w:rPr>
        <w:t>.3</w:t>
      </w:r>
      <w:r>
        <w:rPr>
          <w:rFonts w:hint="eastAsia"/>
          <w:color w:val="auto"/>
        </w:rPr>
        <w:t>监测分析过程中的质量保证和质量控制</w:t>
      </w:r>
      <w:bookmarkEnd w:id="88"/>
    </w:p>
    <w:p>
      <w:pPr>
        <w:ind w:firstLine="480"/>
        <w:rPr>
          <w:color w:val="auto"/>
        </w:rPr>
      </w:pPr>
      <w:r>
        <w:rPr>
          <w:rFonts w:hint="eastAsia"/>
          <w:color w:val="auto"/>
        </w:rPr>
        <w:t>1.采样过程中企业确保生产工况稳定、环保处理设施正常运行；</w:t>
      </w:r>
    </w:p>
    <w:p>
      <w:pPr>
        <w:ind w:firstLine="480"/>
        <w:rPr>
          <w:color w:val="auto"/>
        </w:rPr>
      </w:pPr>
      <w:r>
        <w:rPr>
          <w:rFonts w:hint="eastAsia"/>
          <w:color w:val="auto"/>
        </w:rPr>
        <w:t>2.采样、检测过程均是严格按照各项污染物监测方法及有关技术规范进行；</w:t>
      </w:r>
    </w:p>
    <w:p>
      <w:pPr>
        <w:ind w:firstLine="480"/>
        <w:rPr>
          <w:color w:val="auto"/>
        </w:rPr>
      </w:pPr>
      <w:r>
        <w:rPr>
          <w:rFonts w:hint="eastAsia"/>
          <w:color w:val="auto"/>
        </w:rPr>
        <w:t>3.采样、检测人员均经过培训考核合格后持证上岗；</w:t>
      </w:r>
    </w:p>
    <w:p>
      <w:pPr>
        <w:ind w:firstLine="480"/>
        <w:rPr>
          <w:color w:val="auto"/>
        </w:rPr>
      </w:pPr>
      <w:r>
        <w:rPr>
          <w:rFonts w:hint="eastAsia"/>
          <w:color w:val="auto"/>
        </w:rPr>
        <w:t>4.采样、检测过程中所用关键仪器均经过计量部门校准（检定）合格，颁发校准（检定）证书，并在有效期范围内；</w:t>
      </w:r>
    </w:p>
    <w:p>
      <w:pPr>
        <w:ind w:firstLine="480"/>
        <w:rPr>
          <w:color w:val="auto"/>
        </w:rPr>
      </w:pPr>
      <w:r>
        <w:rPr>
          <w:rFonts w:hint="eastAsia"/>
          <w:color w:val="auto"/>
        </w:rPr>
        <w:t>5.本公司采用检测方法均通过计量认证（实验室资质认定）并符合评价标准要求；</w:t>
      </w:r>
    </w:p>
    <w:p>
      <w:pPr>
        <w:ind w:firstLine="480"/>
        <w:rPr>
          <w:color w:val="auto"/>
        </w:rPr>
      </w:pPr>
      <w:r>
        <w:rPr>
          <w:rFonts w:hint="eastAsia"/>
          <w:color w:val="auto"/>
        </w:rPr>
        <w:t>6.采样、检测数据均执行三级审核制度。</w:t>
      </w:r>
    </w:p>
    <w:p>
      <w:pPr>
        <w:ind w:firstLine="480"/>
        <w:rPr>
          <w:color w:val="auto"/>
        </w:rPr>
      </w:pPr>
      <w:r>
        <w:rPr>
          <w:rFonts w:hint="eastAsia"/>
          <w:color w:val="auto"/>
        </w:rPr>
        <w:t>本次采样质控结果如下：</w:t>
      </w:r>
    </w:p>
    <w:p>
      <w:pPr>
        <w:spacing w:line="240" w:lineRule="auto"/>
        <w:ind w:firstLine="0" w:firstLineChars="0"/>
        <w:jc w:val="center"/>
        <w:rPr>
          <w:rFonts w:cs="Times New Roman"/>
          <w:b/>
          <w:bCs/>
          <w:color w:val="auto"/>
          <w:sz w:val="21"/>
          <w:szCs w:val="21"/>
        </w:rPr>
      </w:pPr>
      <w:r>
        <w:rPr>
          <w:rFonts w:cs="Times New Roman"/>
          <w:b/>
          <w:bCs/>
          <w:color w:val="auto"/>
          <w:sz w:val="21"/>
          <w:szCs w:val="21"/>
        </w:rPr>
        <w:t>表</w:t>
      </w:r>
      <w:r>
        <w:rPr>
          <w:rFonts w:hint="eastAsia" w:cs="Times New Roman"/>
          <w:b/>
          <w:bCs/>
          <w:color w:val="auto"/>
          <w:sz w:val="21"/>
          <w:szCs w:val="21"/>
        </w:rPr>
        <w:t>8.3-1  废水检测质控结果表</w:t>
      </w:r>
    </w:p>
    <w:tbl>
      <w:tblPr>
        <w:tblStyle w:val="24"/>
        <w:tblW w:w="83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154"/>
        <w:gridCol w:w="1638"/>
        <w:gridCol w:w="659"/>
        <w:gridCol w:w="564"/>
        <w:gridCol w:w="610"/>
        <w:gridCol w:w="610"/>
        <w:gridCol w:w="610"/>
        <w:gridCol w:w="670"/>
        <w:gridCol w:w="600"/>
        <w:gridCol w:w="601"/>
        <w:gridCol w:w="6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1769" w:hRule="atLeast"/>
          <w:jc w:val="center"/>
        </w:trPr>
        <w:tc>
          <w:tcPr>
            <w:tcW w:w="1154" w:type="dxa"/>
            <w:vAlign w:val="center"/>
          </w:tcPr>
          <w:p>
            <w:pPr>
              <w:autoSpaceDE w:val="0"/>
              <w:autoSpaceDN w:val="0"/>
              <w:adjustRightInd w:val="0"/>
              <w:spacing w:before="31" w:beforeLines="10" w:after="31" w:afterLines="10" w:line="288" w:lineRule="auto"/>
              <w:ind w:firstLineChars="0"/>
              <w:jc w:val="center"/>
              <w:rPr>
                <w:rFonts w:cs="Times New Roman"/>
                <w:b/>
                <w:bCs/>
                <w:color w:val="auto"/>
                <w:sz w:val="21"/>
                <w:szCs w:val="21"/>
              </w:rPr>
            </w:pPr>
            <w:r>
              <w:rPr>
                <w:rFonts w:ascii="宋体" w:hAnsi="宋体" w:cs="Times New Roman"/>
                <w:b/>
                <w:bCs/>
                <w:color w:val="auto"/>
                <w:sz w:val="21"/>
                <w:szCs w:val="21"/>
              </w:rPr>
              <w:t>日期</w:t>
            </w:r>
          </w:p>
        </w:tc>
        <w:tc>
          <w:tcPr>
            <w:tcW w:w="1638" w:type="dxa"/>
            <w:vAlign w:val="center"/>
          </w:tcPr>
          <w:p>
            <w:pPr>
              <w:autoSpaceDE w:val="0"/>
              <w:autoSpaceDN w:val="0"/>
              <w:adjustRightInd w:val="0"/>
              <w:spacing w:before="31" w:beforeLines="10" w:after="31" w:afterLines="10" w:line="288" w:lineRule="auto"/>
              <w:ind w:firstLine="0" w:firstLineChars="0"/>
              <w:jc w:val="center"/>
              <w:rPr>
                <w:rFonts w:cs="Times New Roman"/>
                <w:b/>
                <w:bCs/>
                <w:color w:val="auto"/>
                <w:sz w:val="21"/>
                <w:szCs w:val="21"/>
              </w:rPr>
            </w:pPr>
            <w:r>
              <w:rPr>
                <w:rFonts w:ascii="宋体" w:hAnsi="宋体" w:cs="Times New Roman"/>
                <w:b/>
                <w:bCs/>
                <w:color w:val="auto"/>
                <w:sz w:val="21"/>
                <w:szCs w:val="21"/>
              </w:rPr>
              <w:t>检测因子</w:t>
            </w:r>
          </w:p>
        </w:tc>
        <w:tc>
          <w:tcPr>
            <w:tcW w:w="659" w:type="dxa"/>
            <w:vAlign w:val="center"/>
          </w:tcPr>
          <w:p>
            <w:pPr>
              <w:autoSpaceDE w:val="0"/>
              <w:autoSpaceDN w:val="0"/>
              <w:adjustRightInd w:val="0"/>
              <w:spacing w:before="31" w:beforeLines="10" w:after="31" w:afterLines="10" w:line="280" w:lineRule="exact"/>
              <w:ind w:firstLine="0" w:firstLineChars="0"/>
              <w:jc w:val="center"/>
              <w:rPr>
                <w:rFonts w:cs="Times New Roman"/>
                <w:b/>
                <w:bCs/>
                <w:color w:val="auto"/>
                <w:sz w:val="21"/>
                <w:szCs w:val="21"/>
              </w:rPr>
            </w:pPr>
            <w:r>
              <w:rPr>
                <w:rFonts w:ascii="宋体" w:hAnsi="宋体" w:cs="Times New Roman"/>
                <w:b/>
                <w:bCs/>
                <w:color w:val="auto"/>
                <w:sz w:val="21"/>
                <w:szCs w:val="21"/>
              </w:rPr>
              <w:t>样品</w:t>
            </w:r>
          </w:p>
          <w:p>
            <w:pPr>
              <w:autoSpaceDE w:val="0"/>
              <w:autoSpaceDN w:val="0"/>
              <w:adjustRightInd w:val="0"/>
              <w:spacing w:before="31" w:beforeLines="10" w:after="31" w:afterLines="10" w:line="280" w:lineRule="exact"/>
              <w:ind w:firstLine="0" w:firstLineChars="0"/>
              <w:jc w:val="center"/>
              <w:rPr>
                <w:rFonts w:cs="Times New Roman"/>
                <w:b/>
                <w:bCs/>
                <w:color w:val="auto"/>
                <w:sz w:val="21"/>
                <w:szCs w:val="21"/>
              </w:rPr>
            </w:pPr>
            <w:r>
              <w:rPr>
                <w:rFonts w:ascii="宋体" w:hAnsi="宋体" w:cs="Times New Roman"/>
                <w:b/>
                <w:bCs/>
                <w:color w:val="auto"/>
                <w:sz w:val="21"/>
                <w:szCs w:val="21"/>
              </w:rPr>
              <w:t>数量</w:t>
            </w:r>
            <w:r>
              <w:rPr>
                <w:rFonts w:cs="Times New Roman"/>
                <w:b/>
                <w:bCs/>
                <w:color w:val="auto"/>
                <w:sz w:val="21"/>
                <w:szCs w:val="21"/>
              </w:rPr>
              <w:t>(</w:t>
            </w:r>
            <w:r>
              <w:rPr>
                <w:rFonts w:ascii="宋体" w:hAnsi="宋体" w:cs="Times New Roman"/>
                <w:b/>
                <w:bCs/>
                <w:color w:val="auto"/>
                <w:sz w:val="21"/>
                <w:szCs w:val="21"/>
              </w:rPr>
              <w:t>个</w:t>
            </w:r>
            <w:r>
              <w:rPr>
                <w:rFonts w:cs="Times New Roman"/>
                <w:b/>
                <w:bCs/>
                <w:color w:val="auto"/>
                <w:sz w:val="21"/>
                <w:szCs w:val="21"/>
              </w:rPr>
              <w:t>)</w:t>
            </w:r>
          </w:p>
        </w:tc>
        <w:tc>
          <w:tcPr>
            <w:tcW w:w="564" w:type="dxa"/>
            <w:vAlign w:val="center"/>
          </w:tcPr>
          <w:p>
            <w:pPr>
              <w:autoSpaceDE w:val="0"/>
              <w:autoSpaceDN w:val="0"/>
              <w:adjustRightInd w:val="0"/>
              <w:spacing w:before="31" w:beforeLines="10" w:after="31" w:afterLines="10" w:line="280" w:lineRule="exact"/>
              <w:ind w:firstLine="0" w:firstLineChars="0"/>
              <w:jc w:val="center"/>
              <w:rPr>
                <w:rFonts w:cs="Times New Roman"/>
                <w:b/>
                <w:bCs/>
                <w:color w:val="auto"/>
                <w:sz w:val="21"/>
                <w:szCs w:val="21"/>
              </w:rPr>
            </w:pPr>
          </w:p>
          <w:p>
            <w:pPr>
              <w:autoSpaceDE w:val="0"/>
              <w:autoSpaceDN w:val="0"/>
              <w:adjustRightInd w:val="0"/>
              <w:spacing w:before="31" w:beforeLines="10" w:after="31" w:afterLines="10" w:line="280" w:lineRule="exact"/>
              <w:ind w:firstLine="0" w:firstLineChars="0"/>
              <w:jc w:val="center"/>
              <w:rPr>
                <w:rFonts w:cs="Times New Roman"/>
                <w:b/>
                <w:bCs/>
                <w:color w:val="auto"/>
                <w:sz w:val="21"/>
                <w:szCs w:val="21"/>
              </w:rPr>
            </w:pPr>
            <w:r>
              <w:rPr>
                <w:rFonts w:ascii="宋体" w:hAnsi="宋体" w:cs="Times New Roman"/>
                <w:b/>
                <w:bCs/>
                <w:color w:val="auto"/>
                <w:sz w:val="21"/>
                <w:szCs w:val="21"/>
              </w:rPr>
              <w:t>室内</w:t>
            </w:r>
          </w:p>
          <w:p>
            <w:pPr>
              <w:autoSpaceDE w:val="0"/>
              <w:autoSpaceDN w:val="0"/>
              <w:adjustRightInd w:val="0"/>
              <w:spacing w:before="31" w:beforeLines="10" w:after="31" w:afterLines="10" w:line="280" w:lineRule="exact"/>
              <w:ind w:firstLine="0" w:firstLineChars="0"/>
              <w:jc w:val="center"/>
              <w:rPr>
                <w:rFonts w:cs="Times New Roman"/>
                <w:b/>
                <w:bCs/>
                <w:color w:val="auto"/>
                <w:sz w:val="21"/>
                <w:szCs w:val="21"/>
              </w:rPr>
            </w:pPr>
            <w:r>
              <w:rPr>
                <w:rFonts w:ascii="宋体" w:hAnsi="宋体" w:cs="Times New Roman"/>
                <w:b/>
                <w:bCs/>
                <w:color w:val="auto"/>
                <w:sz w:val="21"/>
                <w:szCs w:val="21"/>
              </w:rPr>
              <w:t>空白</w:t>
            </w:r>
          </w:p>
          <w:p>
            <w:pPr>
              <w:spacing w:line="280" w:lineRule="exact"/>
              <w:ind w:firstLine="0" w:firstLineChars="0"/>
              <w:jc w:val="center"/>
              <w:rPr>
                <w:rFonts w:cs="Times New Roman"/>
                <w:b/>
                <w:bCs/>
                <w:color w:val="auto"/>
                <w:sz w:val="21"/>
                <w:szCs w:val="21"/>
              </w:rPr>
            </w:pPr>
            <w:r>
              <w:rPr>
                <w:rFonts w:ascii="宋体" w:hAnsi="宋体" w:cs="Times New Roman"/>
                <w:b/>
                <w:bCs/>
                <w:color w:val="auto"/>
                <w:sz w:val="21"/>
                <w:szCs w:val="21"/>
              </w:rPr>
              <w:t>数量</w:t>
            </w:r>
            <w:r>
              <w:rPr>
                <w:rFonts w:cs="Times New Roman"/>
                <w:b/>
                <w:bCs/>
                <w:color w:val="auto"/>
                <w:sz w:val="21"/>
                <w:szCs w:val="21"/>
              </w:rPr>
              <w:t>(</w:t>
            </w:r>
            <w:r>
              <w:rPr>
                <w:rFonts w:ascii="宋体" w:hAnsi="宋体" w:cs="Times New Roman"/>
                <w:b/>
                <w:bCs/>
                <w:color w:val="auto"/>
                <w:sz w:val="21"/>
                <w:szCs w:val="21"/>
              </w:rPr>
              <w:t>个</w:t>
            </w:r>
            <w:r>
              <w:rPr>
                <w:rFonts w:cs="Times New Roman"/>
                <w:b/>
                <w:bCs/>
                <w:color w:val="auto"/>
                <w:sz w:val="21"/>
                <w:szCs w:val="21"/>
              </w:rPr>
              <w:t>)</w:t>
            </w:r>
          </w:p>
          <w:p>
            <w:pPr>
              <w:autoSpaceDE w:val="0"/>
              <w:autoSpaceDN w:val="0"/>
              <w:adjustRightInd w:val="0"/>
              <w:spacing w:before="31" w:beforeLines="10" w:after="31" w:afterLines="10" w:line="280" w:lineRule="exact"/>
              <w:ind w:firstLine="0" w:firstLineChars="0"/>
              <w:jc w:val="center"/>
              <w:rPr>
                <w:rFonts w:cs="Times New Roman"/>
                <w:b/>
                <w:bCs/>
                <w:color w:val="auto"/>
                <w:sz w:val="21"/>
                <w:szCs w:val="21"/>
              </w:rPr>
            </w:pPr>
          </w:p>
        </w:tc>
        <w:tc>
          <w:tcPr>
            <w:tcW w:w="610" w:type="dxa"/>
            <w:vAlign w:val="center"/>
          </w:tcPr>
          <w:p>
            <w:pPr>
              <w:autoSpaceDE w:val="0"/>
              <w:autoSpaceDN w:val="0"/>
              <w:adjustRightInd w:val="0"/>
              <w:spacing w:before="31" w:beforeLines="10" w:after="31" w:afterLines="10" w:line="280" w:lineRule="exact"/>
              <w:ind w:firstLine="0" w:firstLineChars="0"/>
              <w:jc w:val="center"/>
              <w:rPr>
                <w:rFonts w:cs="Times New Roman"/>
                <w:b/>
                <w:bCs/>
                <w:color w:val="auto"/>
                <w:sz w:val="21"/>
                <w:szCs w:val="21"/>
              </w:rPr>
            </w:pPr>
          </w:p>
          <w:p>
            <w:pPr>
              <w:autoSpaceDE w:val="0"/>
              <w:autoSpaceDN w:val="0"/>
              <w:adjustRightInd w:val="0"/>
              <w:spacing w:before="31" w:beforeLines="10" w:after="31" w:afterLines="10" w:line="280" w:lineRule="exact"/>
              <w:ind w:firstLine="0" w:firstLineChars="0"/>
              <w:jc w:val="center"/>
              <w:rPr>
                <w:rFonts w:cs="Times New Roman"/>
                <w:b/>
                <w:bCs/>
                <w:color w:val="auto"/>
                <w:sz w:val="21"/>
                <w:szCs w:val="21"/>
              </w:rPr>
            </w:pPr>
            <w:r>
              <w:rPr>
                <w:rFonts w:ascii="宋体" w:hAnsi="宋体" w:cs="Times New Roman"/>
                <w:b/>
                <w:bCs/>
                <w:color w:val="auto"/>
                <w:sz w:val="21"/>
                <w:szCs w:val="21"/>
              </w:rPr>
              <w:t>现场</w:t>
            </w:r>
          </w:p>
          <w:p>
            <w:pPr>
              <w:autoSpaceDE w:val="0"/>
              <w:autoSpaceDN w:val="0"/>
              <w:adjustRightInd w:val="0"/>
              <w:spacing w:before="31" w:beforeLines="10" w:after="31" w:afterLines="10" w:line="280" w:lineRule="exact"/>
              <w:ind w:firstLine="0" w:firstLineChars="0"/>
              <w:jc w:val="center"/>
              <w:rPr>
                <w:rFonts w:cs="Times New Roman"/>
                <w:b/>
                <w:bCs/>
                <w:color w:val="auto"/>
                <w:sz w:val="21"/>
                <w:szCs w:val="21"/>
              </w:rPr>
            </w:pPr>
            <w:r>
              <w:rPr>
                <w:rFonts w:ascii="宋体" w:hAnsi="宋体" w:cs="Times New Roman"/>
                <w:b/>
                <w:bCs/>
                <w:color w:val="auto"/>
                <w:sz w:val="21"/>
                <w:szCs w:val="21"/>
              </w:rPr>
              <w:t>空白</w:t>
            </w:r>
          </w:p>
          <w:p>
            <w:pPr>
              <w:spacing w:line="280" w:lineRule="exact"/>
              <w:ind w:firstLine="0" w:firstLineChars="0"/>
              <w:jc w:val="center"/>
              <w:rPr>
                <w:rFonts w:cs="Times New Roman"/>
                <w:b/>
                <w:bCs/>
                <w:color w:val="auto"/>
                <w:sz w:val="21"/>
                <w:szCs w:val="21"/>
              </w:rPr>
            </w:pPr>
            <w:r>
              <w:rPr>
                <w:rFonts w:ascii="宋体" w:hAnsi="宋体" w:cs="Times New Roman"/>
                <w:b/>
                <w:bCs/>
                <w:color w:val="auto"/>
                <w:sz w:val="21"/>
                <w:szCs w:val="21"/>
              </w:rPr>
              <w:t>数量</w:t>
            </w:r>
            <w:r>
              <w:rPr>
                <w:rFonts w:cs="Times New Roman"/>
                <w:b/>
                <w:bCs/>
                <w:color w:val="auto"/>
                <w:sz w:val="21"/>
                <w:szCs w:val="21"/>
              </w:rPr>
              <w:t>(</w:t>
            </w:r>
            <w:r>
              <w:rPr>
                <w:rFonts w:ascii="宋体" w:hAnsi="宋体" w:cs="Times New Roman"/>
                <w:b/>
                <w:bCs/>
                <w:color w:val="auto"/>
                <w:sz w:val="21"/>
                <w:szCs w:val="21"/>
              </w:rPr>
              <w:t>个</w:t>
            </w:r>
            <w:r>
              <w:rPr>
                <w:rFonts w:cs="Times New Roman"/>
                <w:b/>
                <w:bCs/>
                <w:color w:val="auto"/>
                <w:sz w:val="21"/>
                <w:szCs w:val="21"/>
              </w:rPr>
              <w:t>)</w:t>
            </w:r>
          </w:p>
          <w:p>
            <w:pPr>
              <w:autoSpaceDE w:val="0"/>
              <w:autoSpaceDN w:val="0"/>
              <w:adjustRightInd w:val="0"/>
              <w:spacing w:before="31" w:beforeLines="10" w:after="31" w:afterLines="10" w:line="280" w:lineRule="exact"/>
              <w:ind w:firstLine="0" w:firstLineChars="0"/>
              <w:jc w:val="center"/>
              <w:rPr>
                <w:rFonts w:cs="Times New Roman"/>
                <w:b/>
                <w:bCs/>
                <w:color w:val="auto"/>
                <w:sz w:val="21"/>
                <w:szCs w:val="21"/>
              </w:rPr>
            </w:pPr>
          </w:p>
        </w:tc>
        <w:tc>
          <w:tcPr>
            <w:tcW w:w="610" w:type="dxa"/>
            <w:vAlign w:val="center"/>
          </w:tcPr>
          <w:p>
            <w:pPr>
              <w:autoSpaceDE w:val="0"/>
              <w:autoSpaceDN w:val="0"/>
              <w:adjustRightInd w:val="0"/>
              <w:spacing w:line="280" w:lineRule="exact"/>
              <w:ind w:firstLine="0" w:firstLineChars="0"/>
              <w:jc w:val="center"/>
              <w:rPr>
                <w:rFonts w:cs="Times New Roman"/>
                <w:b/>
                <w:bCs/>
                <w:color w:val="auto"/>
                <w:sz w:val="21"/>
                <w:szCs w:val="21"/>
              </w:rPr>
            </w:pPr>
            <w:r>
              <w:rPr>
                <w:rFonts w:ascii="宋体" w:hAnsi="宋体" w:cs="Times New Roman"/>
                <w:b/>
                <w:bCs/>
                <w:color w:val="auto"/>
                <w:sz w:val="21"/>
                <w:szCs w:val="21"/>
              </w:rPr>
              <w:t>室内</w:t>
            </w:r>
          </w:p>
          <w:p>
            <w:pPr>
              <w:autoSpaceDE w:val="0"/>
              <w:autoSpaceDN w:val="0"/>
              <w:adjustRightInd w:val="0"/>
              <w:spacing w:line="280" w:lineRule="exact"/>
              <w:ind w:firstLine="0" w:firstLineChars="0"/>
              <w:jc w:val="center"/>
              <w:rPr>
                <w:rFonts w:cs="Times New Roman"/>
                <w:b/>
                <w:bCs/>
                <w:color w:val="auto"/>
                <w:sz w:val="21"/>
                <w:szCs w:val="21"/>
              </w:rPr>
            </w:pPr>
            <w:r>
              <w:rPr>
                <w:rFonts w:ascii="宋体" w:hAnsi="宋体" w:cs="Times New Roman"/>
                <w:b/>
                <w:bCs/>
                <w:color w:val="auto"/>
                <w:sz w:val="21"/>
                <w:szCs w:val="21"/>
              </w:rPr>
              <w:t>平行</w:t>
            </w:r>
          </w:p>
          <w:p>
            <w:pPr>
              <w:autoSpaceDE w:val="0"/>
              <w:autoSpaceDN w:val="0"/>
              <w:adjustRightInd w:val="0"/>
              <w:spacing w:line="280" w:lineRule="exact"/>
              <w:ind w:firstLine="0" w:firstLineChars="0"/>
              <w:jc w:val="center"/>
              <w:rPr>
                <w:rFonts w:cs="Times New Roman"/>
                <w:b/>
                <w:bCs/>
                <w:color w:val="auto"/>
                <w:sz w:val="21"/>
                <w:szCs w:val="21"/>
              </w:rPr>
            </w:pPr>
            <w:r>
              <w:rPr>
                <w:rFonts w:ascii="宋体" w:hAnsi="宋体" w:cs="Times New Roman"/>
                <w:b/>
                <w:bCs/>
                <w:color w:val="auto"/>
                <w:sz w:val="21"/>
                <w:szCs w:val="21"/>
              </w:rPr>
              <w:t>相对</w:t>
            </w:r>
          </w:p>
          <w:p>
            <w:pPr>
              <w:spacing w:line="280" w:lineRule="exact"/>
              <w:ind w:firstLine="0" w:firstLineChars="0"/>
              <w:jc w:val="center"/>
              <w:rPr>
                <w:rFonts w:cs="Times New Roman"/>
                <w:b/>
                <w:bCs/>
                <w:color w:val="auto"/>
                <w:sz w:val="21"/>
                <w:szCs w:val="21"/>
              </w:rPr>
            </w:pPr>
            <w:r>
              <w:rPr>
                <w:rFonts w:ascii="宋体" w:hAnsi="宋体" w:cs="Times New Roman"/>
                <w:b/>
                <w:bCs/>
                <w:color w:val="auto"/>
                <w:sz w:val="21"/>
                <w:szCs w:val="21"/>
              </w:rPr>
              <w:t>偏差</w:t>
            </w:r>
          </w:p>
          <w:p>
            <w:pPr>
              <w:spacing w:line="280" w:lineRule="exact"/>
              <w:ind w:firstLine="0" w:firstLineChars="0"/>
              <w:jc w:val="center"/>
              <w:rPr>
                <w:rFonts w:cs="Times New Roman"/>
                <w:b/>
                <w:bCs/>
                <w:color w:val="auto"/>
                <w:sz w:val="21"/>
                <w:szCs w:val="21"/>
              </w:rPr>
            </w:pPr>
            <w:r>
              <w:rPr>
                <w:rFonts w:cs="Times New Roman"/>
                <w:b/>
                <w:bCs/>
                <w:color w:val="auto"/>
                <w:sz w:val="21"/>
                <w:szCs w:val="21"/>
              </w:rPr>
              <w:t>(±10</w:t>
            </w:r>
          </w:p>
          <w:p>
            <w:pPr>
              <w:spacing w:line="280" w:lineRule="exact"/>
              <w:ind w:firstLine="0" w:firstLineChars="0"/>
              <w:jc w:val="center"/>
              <w:rPr>
                <w:rFonts w:cs="Times New Roman"/>
                <w:b/>
                <w:bCs/>
                <w:color w:val="auto"/>
                <w:sz w:val="21"/>
                <w:szCs w:val="21"/>
              </w:rPr>
            </w:pPr>
            <w:r>
              <w:rPr>
                <w:rFonts w:cs="Times New Roman"/>
                <w:b/>
                <w:bCs/>
                <w:color w:val="auto"/>
                <w:sz w:val="21"/>
                <w:szCs w:val="21"/>
              </w:rPr>
              <w:t>%)</w:t>
            </w:r>
          </w:p>
        </w:tc>
        <w:tc>
          <w:tcPr>
            <w:tcW w:w="610" w:type="dxa"/>
            <w:vAlign w:val="center"/>
          </w:tcPr>
          <w:p>
            <w:pPr>
              <w:autoSpaceDE w:val="0"/>
              <w:autoSpaceDN w:val="0"/>
              <w:adjustRightInd w:val="0"/>
              <w:spacing w:line="280" w:lineRule="exact"/>
              <w:ind w:firstLine="0" w:firstLineChars="0"/>
              <w:jc w:val="center"/>
              <w:rPr>
                <w:rFonts w:cs="Times New Roman"/>
                <w:b/>
                <w:bCs/>
                <w:color w:val="auto"/>
                <w:sz w:val="21"/>
                <w:szCs w:val="21"/>
              </w:rPr>
            </w:pPr>
            <w:r>
              <w:rPr>
                <w:rFonts w:ascii="宋体" w:hAnsi="宋体" w:cs="Times New Roman"/>
                <w:b/>
                <w:bCs/>
                <w:color w:val="auto"/>
                <w:sz w:val="21"/>
                <w:szCs w:val="21"/>
              </w:rPr>
              <w:t>现场</w:t>
            </w:r>
          </w:p>
          <w:p>
            <w:pPr>
              <w:autoSpaceDE w:val="0"/>
              <w:autoSpaceDN w:val="0"/>
              <w:adjustRightInd w:val="0"/>
              <w:spacing w:line="280" w:lineRule="exact"/>
              <w:ind w:firstLine="0" w:firstLineChars="0"/>
              <w:jc w:val="center"/>
              <w:rPr>
                <w:rFonts w:cs="Times New Roman"/>
                <w:b/>
                <w:bCs/>
                <w:color w:val="auto"/>
                <w:sz w:val="21"/>
                <w:szCs w:val="21"/>
              </w:rPr>
            </w:pPr>
            <w:r>
              <w:rPr>
                <w:rFonts w:ascii="宋体" w:hAnsi="宋体" w:cs="Times New Roman"/>
                <w:b/>
                <w:bCs/>
                <w:color w:val="auto"/>
                <w:sz w:val="21"/>
                <w:szCs w:val="21"/>
              </w:rPr>
              <w:t>平行</w:t>
            </w:r>
          </w:p>
          <w:p>
            <w:pPr>
              <w:autoSpaceDE w:val="0"/>
              <w:autoSpaceDN w:val="0"/>
              <w:adjustRightInd w:val="0"/>
              <w:spacing w:line="280" w:lineRule="exact"/>
              <w:ind w:firstLine="0" w:firstLineChars="0"/>
              <w:jc w:val="center"/>
              <w:rPr>
                <w:rFonts w:cs="Times New Roman"/>
                <w:b/>
                <w:bCs/>
                <w:color w:val="auto"/>
                <w:sz w:val="21"/>
                <w:szCs w:val="21"/>
              </w:rPr>
            </w:pPr>
            <w:r>
              <w:rPr>
                <w:rFonts w:ascii="宋体" w:hAnsi="宋体" w:cs="Times New Roman"/>
                <w:b/>
                <w:bCs/>
                <w:color w:val="auto"/>
                <w:sz w:val="21"/>
                <w:szCs w:val="21"/>
              </w:rPr>
              <w:t>相对</w:t>
            </w:r>
          </w:p>
          <w:p>
            <w:pPr>
              <w:spacing w:line="280" w:lineRule="exact"/>
              <w:ind w:firstLine="0" w:firstLineChars="0"/>
              <w:jc w:val="center"/>
              <w:rPr>
                <w:rFonts w:cs="Times New Roman"/>
                <w:b/>
                <w:bCs/>
                <w:color w:val="auto"/>
                <w:sz w:val="21"/>
                <w:szCs w:val="21"/>
              </w:rPr>
            </w:pPr>
            <w:r>
              <w:rPr>
                <w:rFonts w:ascii="宋体" w:hAnsi="宋体" w:cs="Times New Roman"/>
                <w:b/>
                <w:bCs/>
                <w:color w:val="auto"/>
                <w:sz w:val="21"/>
                <w:szCs w:val="21"/>
              </w:rPr>
              <w:t>偏差</w:t>
            </w:r>
            <w:r>
              <w:rPr>
                <w:rFonts w:cs="Times New Roman"/>
                <w:b/>
                <w:bCs/>
                <w:color w:val="auto"/>
                <w:sz w:val="21"/>
                <w:szCs w:val="21"/>
              </w:rPr>
              <w:t>(±10</w:t>
            </w:r>
          </w:p>
          <w:p>
            <w:pPr>
              <w:autoSpaceDE w:val="0"/>
              <w:autoSpaceDN w:val="0"/>
              <w:adjustRightInd w:val="0"/>
              <w:spacing w:line="280" w:lineRule="exact"/>
              <w:ind w:firstLine="0" w:firstLineChars="0"/>
              <w:jc w:val="center"/>
              <w:rPr>
                <w:rFonts w:cs="Times New Roman"/>
                <w:b/>
                <w:bCs/>
                <w:color w:val="auto"/>
                <w:sz w:val="21"/>
                <w:szCs w:val="21"/>
              </w:rPr>
            </w:pPr>
            <w:r>
              <w:rPr>
                <w:rFonts w:cs="Times New Roman"/>
                <w:b/>
                <w:bCs/>
                <w:color w:val="auto"/>
                <w:sz w:val="21"/>
                <w:szCs w:val="21"/>
              </w:rPr>
              <w:t>%)</w:t>
            </w:r>
          </w:p>
        </w:tc>
        <w:tc>
          <w:tcPr>
            <w:tcW w:w="670" w:type="dxa"/>
            <w:vAlign w:val="center"/>
          </w:tcPr>
          <w:p>
            <w:pPr>
              <w:autoSpaceDE w:val="0"/>
              <w:autoSpaceDN w:val="0"/>
              <w:adjustRightInd w:val="0"/>
              <w:spacing w:line="280" w:lineRule="exact"/>
              <w:ind w:firstLine="0" w:firstLineChars="0"/>
              <w:jc w:val="center"/>
              <w:rPr>
                <w:rFonts w:cs="Times New Roman"/>
                <w:b/>
                <w:bCs/>
                <w:color w:val="auto"/>
                <w:sz w:val="21"/>
                <w:szCs w:val="21"/>
              </w:rPr>
            </w:pPr>
            <w:r>
              <w:rPr>
                <w:rFonts w:ascii="宋体" w:hAnsi="宋体" w:cs="Times New Roman"/>
                <w:b/>
                <w:bCs/>
                <w:color w:val="auto"/>
                <w:sz w:val="21"/>
                <w:szCs w:val="21"/>
              </w:rPr>
              <w:t>现场</w:t>
            </w:r>
          </w:p>
          <w:p>
            <w:pPr>
              <w:autoSpaceDE w:val="0"/>
              <w:autoSpaceDN w:val="0"/>
              <w:adjustRightInd w:val="0"/>
              <w:spacing w:line="280" w:lineRule="exact"/>
              <w:ind w:firstLine="0" w:firstLineChars="0"/>
              <w:jc w:val="center"/>
              <w:rPr>
                <w:rFonts w:cs="Times New Roman"/>
                <w:b/>
                <w:bCs/>
                <w:color w:val="auto"/>
                <w:sz w:val="21"/>
                <w:szCs w:val="21"/>
              </w:rPr>
            </w:pPr>
            <w:r>
              <w:rPr>
                <w:rFonts w:ascii="宋体" w:hAnsi="宋体" w:cs="Times New Roman"/>
                <w:b/>
                <w:bCs/>
                <w:color w:val="auto"/>
                <w:sz w:val="21"/>
                <w:szCs w:val="21"/>
              </w:rPr>
              <w:t>平行</w:t>
            </w:r>
          </w:p>
          <w:p>
            <w:pPr>
              <w:autoSpaceDE w:val="0"/>
              <w:autoSpaceDN w:val="0"/>
              <w:adjustRightInd w:val="0"/>
              <w:spacing w:line="280" w:lineRule="exact"/>
              <w:ind w:firstLine="0" w:firstLineChars="0"/>
              <w:jc w:val="center"/>
              <w:rPr>
                <w:rFonts w:cs="Times New Roman"/>
                <w:b/>
                <w:bCs/>
                <w:color w:val="auto"/>
                <w:sz w:val="21"/>
                <w:szCs w:val="21"/>
              </w:rPr>
            </w:pPr>
            <w:r>
              <w:rPr>
                <w:rFonts w:ascii="宋体" w:hAnsi="宋体" w:cs="Times New Roman"/>
                <w:b/>
                <w:bCs/>
                <w:color w:val="auto"/>
                <w:sz w:val="21"/>
                <w:szCs w:val="21"/>
              </w:rPr>
              <w:t>绝对</w:t>
            </w:r>
          </w:p>
          <w:p>
            <w:pPr>
              <w:spacing w:line="280" w:lineRule="exact"/>
              <w:ind w:firstLine="0" w:firstLineChars="0"/>
              <w:jc w:val="center"/>
              <w:rPr>
                <w:rFonts w:cs="Times New Roman"/>
                <w:b/>
                <w:bCs/>
                <w:color w:val="auto"/>
                <w:sz w:val="21"/>
                <w:szCs w:val="21"/>
              </w:rPr>
            </w:pPr>
            <w:r>
              <w:rPr>
                <w:rFonts w:ascii="宋体" w:hAnsi="宋体" w:cs="Times New Roman"/>
                <w:b/>
                <w:bCs/>
                <w:color w:val="auto"/>
                <w:sz w:val="21"/>
                <w:szCs w:val="21"/>
              </w:rPr>
              <w:t>偏差</w:t>
            </w:r>
            <w:r>
              <w:rPr>
                <w:rFonts w:cs="Times New Roman"/>
                <w:b/>
                <w:bCs/>
                <w:color w:val="auto"/>
                <w:sz w:val="21"/>
                <w:szCs w:val="21"/>
              </w:rPr>
              <w:t>(±0.1</w:t>
            </w:r>
          </w:p>
          <w:p>
            <w:pPr>
              <w:autoSpaceDE w:val="0"/>
              <w:autoSpaceDN w:val="0"/>
              <w:adjustRightInd w:val="0"/>
              <w:spacing w:line="280" w:lineRule="exact"/>
              <w:ind w:firstLine="0" w:firstLineChars="0"/>
              <w:jc w:val="center"/>
              <w:rPr>
                <w:rFonts w:cs="Times New Roman"/>
                <w:b/>
                <w:bCs/>
                <w:color w:val="auto"/>
                <w:sz w:val="21"/>
                <w:szCs w:val="21"/>
              </w:rPr>
            </w:pPr>
            <w:r>
              <w:rPr>
                <w:rFonts w:cs="Times New Roman"/>
                <w:b/>
                <w:bCs/>
                <w:color w:val="auto"/>
                <w:sz w:val="21"/>
                <w:szCs w:val="21"/>
              </w:rPr>
              <w:t>%)</w:t>
            </w:r>
          </w:p>
        </w:tc>
        <w:tc>
          <w:tcPr>
            <w:tcW w:w="600" w:type="dxa"/>
            <w:vAlign w:val="center"/>
          </w:tcPr>
          <w:p>
            <w:pPr>
              <w:autoSpaceDE w:val="0"/>
              <w:autoSpaceDN w:val="0"/>
              <w:adjustRightInd w:val="0"/>
              <w:spacing w:line="280" w:lineRule="exact"/>
              <w:ind w:firstLine="0" w:firstLineChars="0"/>
              <w:jc w:val="center"/>
              <w:rPr>
                <w:rFonts w:cs="Times New Roman"/>
                <w:b/>
                <w:bCs/>
                <w:color w:val="auto"/>
                <w:sz w:val="21"/>
                <w:szCs w:val="21"/>
              </w:rPr>
            </w:pPr>
            <w:r>
              <w:rPr>
                <w:rFonts w:ascii="宋体" w:hAnsi="宋体" w:cs="Times New Roman"/>
                <w:b/>
                <w:bCs/>
                <w:color w:val="auto"/>
                <w:sz w:val="21"/>
                <w:szCs w:val="21"/>
              </w:rPr>
              <w:t>标样</w:t>
            </w:r>
          </w:p>
          <w:p>
            <w:pPr>
              <w:autoSpaceDE w:val="0"/>
              <w:autoSpaceDN w:val="0"/>
              <w:adjustRightInd w:val="0"/>
              <w:spacing w:line="280" w:lineRule="exact"/>
              <w:ind w:firstLine="0" w:firstLineChars="0"/>
              <w:jc w:val="center"/>
              <w:rPr>
                <w:rFonts w:cs="Times New Roman"/>
                <w:b/>
                <w:bCs/>
                <w:color w:val="auto"/>
                <w:sz w:val="21"/>
                <w:szCs w:val="21"/>
              </w:rPr>
            </w:pPr>
            <w:r>
              <w:rPr>
                <w:rFonts w:ascii="宋体" w:hAnsi="宋体" w:cs="Times New Roman"/>
                <w:b/>
                <w:bCs/>
                <w:color w:val="auto"/>
                <w:sz w:val="21"/>
                <w:szCs w:val="21"/>
              </w:rPr>
              <w:t>相对</w:t>
            </w:r>
          </w:p>
          <w:p>
            <w:pPr>
              <w:spacing w:line="280" w:lineRule="exact"/>
              <w:ind w:firstLine="0" w:firstLineChars="0"/>
              <w:jc w:val="center"/>
              <w:rPr>
                <w:rFonts w:cs="Times New Roman"/>
                <w:b/>
                <w:bCs/>
                <w:color w:val="auto"/>
                <w:sz w:val="21"/>
                <w:szCs w:val="21"/>
              </w:rPr>
            </w:pPr>
            <w:r>
              <w:rPr>
                <w:rFonts w:ascii="宋体" w:hAnsi="宋体" w:cs="Times New Roman"/>
                <w:b/>
                <w:bCs/>
                <w:color w:val="auto"/>
                <w:sz w:val="21"/>
                <w:szCs w:val="21"/>
              </w:rPr>
              <w:t>误差</w:t>
            </w:r>
            <w:r>
              <w:rPr>
                <w:rFonts w:cs="Times New Roman"/>
                <w:b/>
                <w:bCs/>
                <w:color w:val="auto"/>
                <w:sz w:val="21"/>
                <w:szCs w:val="21"/>
              </w:rPr>
              <w:t>(±10</w:t>
            </w:r>
          </w:p>
          <w:p>
            <w:pPr>
              <w:autoSpaceDE w:val="0"/>
              <w:autoSpaceDN w:val="0"/>
              <w:adjustRightInd w:val="0"/>
              <w:spacing w:line="280" w:lineRule="exact"/>
              <w:ind w:firstLine="0" w:firstLineChars="0"/>
              <w:jc w:val="center"/>
              <w:rPr>
                <w:rFonts w:cs="Times New Roman"/>
                <w:b/>
                <w:bCs/>
                <w:color w:val="auto"/>
                <w:sz w:val="21"/>
                <w:szCs w:val="21"/>
              </w:rPr>
            </w:pPr>
            <w:r>
              <w:rPr>
                <w:rFonts w:cs="Times New Roman"/>
                <w:b/>
                <w:bCs/>
                <w:color w:val="auto"/>
                <w:sz w:val="21"/>
                <w:szCs w:val="21"/>
              </w:rPr>
              <w:t>%)</w:t>
            </w:r>
          </w:p>
        </w:tc>
        <w:tc>
          <w:tcPr>
            <w:tcW w:w="601" w:type="dxa"/>
            <w:vAlign w:val="center"/>
          </w:tcPr>
          <w:p>
            <w:pPr>
              <w:autoSpaceDE w:val="0"/>
              <w:autoSpaceDN w:val="0"/>
              <w:adjustRightInd w:val="0"/>
              <w:spacing w:line="280" w:lineRule="exact"/>
              <w:ind w:firstLine="0" w:firstLineChars="0"/>
              <w:jc w:val="center"/>
              <w:rPr>
                <w:rFonts w:cs="Times New Roman"/>
                <w:b/>
                <w:bCs/>
                <w:color w:val="auto"/>
                <w:sz w:val="21"/>
                <w:szCs w:val="21"/>
              </w:rPr>
            </w:pPr>
            <w:r>
              <w:rPr>
                <w:rFonts w:ascii="宋体" w:hAnsi="宋体" w:cs="Times New Roman"/>
                <w:b/>
                <w:bCs/>
                <w:color w:val="auto"/>
                <w:sz w:val="21"/>
                <w:szCs w:val="21"/>
              </w:rPr>
              <w:t>加标</w:t>
            </w:r>
          </w:p>
          <w:p>
            <w:pPr>
              <w:autoSpaceDE w:val="0"/>
              <w:autoSpaceDN w:val="0"/>
              <w:adjustRightInd w:val="0"/>
              <w:spacing w:line="280" w:lineRule="exact"/>
              <w:ind w:firstLine="0" w:firstLineChars="0"/>
              <w:jc w:val="center"/>
              <w:rPr>
                <w:rFonts w:cs="Times New Roman"/>
                <w:b/>
                <w:bCs/>
                <w:color w:val="auto"/>
                <w:sz w:val="21"/>
                <w:szCs w:val="21"/>
              </w:rPr>
            </w:pPr>
            <w:r>
              <w:rPr>
                <w:rFonts w:ascii="宋体" w:hAnsi="宋体" w:cs="Times New Roman"/>
                <w:b/>
                <w:bCs/>
                <w:color w:val="auto"/>
                <w:sz w:val="21"/>
                <w:szCs w:val="21"/>
              </w:rPr>
              <w:t>回收</w:t>
            </w:r>
          </w:p>
          <w:p>
            <w:pPr>
              <w:autoSpaceDE w:val="0"/>
              <w:autoSpaceDN w:val="0"/>
              <w:adjustRightInd w:val="0"/>
              <w:spacing w:line="280" w:lineRule="exact"/>
              <w:ind w:firstLine="0" w:firstLineChars="0"/>
              <w:jc w:val="center"/>
              <w:rPr>
                <w:rFonts w:cs="Times New Roman"/>
                <w:b/>
                <w:bCs/>
                <w:color w:val="auto"/>
                <w:sz w:val="21"/>
                <w:szCs w:val="21"/>
              </w:rPr>
            </w:pPr>
            <w:r>
              <w:rPr>
                <w:rFonts w:ascii="宋体" w:hAnsi="宋体" w:cs="Times New Roman"/>
                <w:b/>
                <w:bCs/>
                <w:color w:val="auto"/>
                <w:sz w:val="21"/>
                <w:szCs w:val="21"/>
              </w:rPr>
              <w:t>率</w:t>
            </w:r>
          </w:p>
          <w:p>
            <w:pPr>
              <w:spacing w:line="280" w:lineRule="exact"/>
              <w:ind w:firstLine="0" w:firstLineChars="0"/>
              <w:jc w:val="center"/>
              <w:rPr>
                <w:rFonts w:cs="Times New Roman"/>
                <w:b/>
                <w:bCs/>
                <w:color w:val="auto"/>
                <w:sz w:val="21"/>
                <w:szCs w:val="21"/>
              </w:rPr>
            </w:pPr>
            <w:r>
              <w:rPr>
                <w:rFonts w:cs="Times New Roman"/>
                <w:b/>
                <w:bCs/>
                <w:color w:val="auto"/>
                <w:sz w:val="21"/>
                <w:szCs w:val="21"/>
              </w:rPr>
              <w:t>(90-</w:t>
            </w:r>
          </w:p>
          <w:p>
            <w:pPr>
              <w:spacing w:line="280" w:lineRule="exact"/>
              <w:ind w:firstLine="0" w:firstLineChars="0"/>
              <w:jc w:val="center"/>
              <w:rPr>
                <w:rFonts w:cs="Times New Roman"/>
                <w:b/>
                <w:bCs/>
                <w:color w:val="auto"/>
                <w:sz w:val="21"/>
                <w:szCs w:val="21"/>
              </w:rPr>
            </w:pPr>
            <w:r>
              <w:rPr>
                <w:rFonts w:cs="Times New Roman"/>
                <w:b/>
                <w:bCs/>
                <w:color w:val="auto"/>
                <w:sz w:val="21"/>
                <w:szCs w:val="21"/>
              </w:rPr>
              <w:t>110</w:t>
            </w:r>
          </w:p>
          <w:p>
            <w:pPr>
              <w:autoSpaceDE w:val="0"/>
              <w:autoSpaceDN w:val="0"/>
              <w:adjustRightInd w:val="0"/>
              <w:spacing w:line="280" w:lineRule="exact"/>
              <w:ind w:firstLine="0" w:firstLineChars="0"/>
              <w:jc w:val="center"/>
              <w:rPr>
                <w:rFonts w:cs="Times New Roman"/>
                <w:b/>
                <w:bCs/>
                <w:color w:val="auto"/>
                <w:sz w:val="21"/>
                <w:szCs w:val="21"/>
              </w:rPr>
            </w:pPr>
            <w:r>
              <w:rPr>
                <w:rFonts w:cs="Times New Roman"/>
                <w:b/>
                <w:bCs/>
                <w:color w:val="auto"/>
                <w:sz w:val="21"/>
                <w:szCs w:val="21"/>
              </w:rPr>
              <w:t>%)</w:t>
            </w:r>
          </w:p>
        </w:tc>
        <w:tc>
          <w:tcPr>
            <w:tcW w:w="600" w:type="dxa"/>
            <w:vAlign w:val="center"/>
          </w:tcPr>
          <w:p>
            <w:pPr>
              <w:autoSpaceDE w:val="0"/>
              <w:autoSpaceDN w:val="0"/>
              <w:adjustRightInd w:val="0"/>
              <w:spacing w:line="280" w:lineRule="exact"/>
              <w:ind w:firstLine="0" w:firstLineChars="0"/>
              <w:jc w:val="center"/>
              <w:rPr>
                <w:rFonts w:cs="Times New Roman"/>
                <w:b/>
                <w:bCs/>
                <w:color w:val="auto"/>
                <w:sz w:val="21"/>
                <w:szCs w:val="21"/>
              </w:rPr>
            </w:pPr>
          </w:p>
          <w:p>
            <w:pPr>
              <w:autoSpaceDE w:val="0"/>
              <w:autoSpaceDN w:val="0"/>
              <w:adjustRightInd w:val="0"/>
              <w:spacing w:line="280" w:lineRule="exact"/>
              <w:ind w:firstLine="0" w:firstLineChars="0"/>
              <w:jc w:val="center"/>
              <w:rPr>
                <w:rFonts w:cs="Times New Roman"/>
                <w:b/>
                <w:bCs/>
                <w:color w:val="auto"/>
                <w:sz w:val="21"/>
                <w:szCs w:val="21"/>
              </w:rPr>
            </w:pPr>
            <w:r>
              <w:rPr>
                <w:rFonts w:ascii="宋体" w:hAnsi="宋体" w:cs="Times New Roman"/>
                <w:b/>
                <w:bCs/>
                <w:color w:val="auto"/>
                <w:sz w:val="21"/>
                <w:szCs w:val="21"/>
              </w:rPr>
              <w:t>是否</w:t>
            </w:r>
          </w:p>
          <w:p>
            <w:pPr>
              <w:autoSpaceDE w:val="0"/>
              <w:autoSpaceDN w:val="0"/>
              <w:adjustRightInd w:val="0"/>
              <w:spacing w:line="280" w:lineRule="exact"/>
              <w:ind w:firstLine="0" w:firstLineChars="0"/>
              <w:jc w:val="center"/>
              <w:rPr>
                <w:rFonts w:cs="Times New Roman"/>
                <w:b/>
                <w:bCs/>
                <w:color w:val="auto"/>
                <w:sz w:val="21"/>
                <w:szCs w:val="21"/>
              </w:rPr>
            </w:pPr>
            <w:r>
              <w:rPr>
                <w:rFonts w:ascii="宋体" w:hAnsi="宋体" w:cs="Times New Roman"/>
                <w:b/>
                <w:bCs/>
                <w:color w:val="auto"/>
                <w:sz w:val="21"/>
                <w:szCs w:val="21"/>
              </w:rPr>
              <w:t>合格</w:t>
            </w:r>
          </w:p>
          <w:p>
            <w:pPr>
              <w:autoSpaceDE w:val="0"/>
              <w:autoSpaceDN w:val="0"/>
              <w:adjustRightInd w:val="0"/>
              <w:spacing w:line="280" w:lineRule="exact"/>
              <w:ind w:firstLine="0" w:firstLineChars="0"/>
              <w:jc w:val="center"/>
              <w:rPr>
                <w:rFonts w:cs="Times New Roman"/>
                <w:b/>
                <w:bCs/>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80" w:hRule="atLeast"/>
          <w:jc w:val="center"/>
        </w:trPr>
        <w:tc>
          <w:tcPr>
            <w:tcW w:w="1154" w:type="dxa"/>
            <w:vMerge w:val="restart"/>
            <w:vAlign w:val="center"/>
          </w:tcPr>
          <w:p>
            <w:pPr>
              <w:autoSpaceDE w:val="0"/>
              <w:autoSpaceDN w:val="0"/>
              <w:adjustRightInd w:val="0"/>
              <w:spacing w:before="31" w:beforeLines="10" w:after="31" w:afterLines="10" w:line="288" w:lineRule="auto"/>
              <w:ind w:firstLine="0" w:firstLineChars="0"/>
              <w:jc w:val="center"/>
              <w:rPr>
                <w:rFonts w:cs="Times New Roman"/>
                <w:color w:val="auto"/>
                <w:sz w:val="21"/>
                <w:szCs w:val="21"/>
              </w:rPr>
            </w:pPr>
            <w:r>
              <w:rPr>
                <w:rFonts w:cs="Times New Roman"/>
                <w:color w:val="auto"/>
                <w:sz w:val="21"/>
                <w:szCs w:val="21"/>
              </w:rPr>
              <w:t>2025.12.10</w:t>
            </w:r>
          </w:p>
        </w:tc>
        <w:tc>
          <w:tcPr>
            <w:tcW w:w="1638" w:type="dxa"/>
            <w:vAlign w:val="center"/>
          </w:tcPr>
          <w:p>
            <w:pPr>
              <w:autoSpaceDE w:val="0"/>
              <w:autoSpaceDN w:val="0"/>
              <w:adjustRightInd w:val="0"/>
              <w:spacing w:line="264" w:lineRule="auto"/>
              <w:ind w:firstLine="0" w:firstLineChars="0"/>
              <w:jc w:val="center"/>
              <w:rPr>
                <w:rFonts w:cs="Times New Roman"/>
                <w:color w:val="auto"/>
                <w:sz w:val="21"/>
                <w:szCs w:val="21"/>
              </w:rPr>
            </w:pPr>
            <w:r>
              <w:rPr>
                <w:rFonts w:cs="Times New Roman"/>
                <w:color w:val="auto"/>
                <w:sz w:val="21"/>
                <w:szCs w:val="21"/>
              </w:rPr>
              <w:t>pH</w:t>
            </w:r>
            <w:r>
              <w:rPr>
                <w:rFonts w:ascii="宋体" w:hAnsi="宋体" w:cs="Times New Roman"/>
                <w:color w:val="auto"/>
                <w:sz w:val="21"/>
                <w:szCs w:val="21"/>
              </w:rPr>
              <w:t>值（无量纲）</w:t>
            </w:r>
            <w:r>
              <w:rPr>
                <w:rFonts w:cs="Times New Roman"/>
                <w:color w:val="auto"/>
                <w:sz w:val="21"/>
                <w:szCs w:val="21"/>
              </w:rPr>
              <w:t xml:space="preserve"> </w:t>
            </w:r>
          </w:p>
        </w:tc>
        <w:tc>
          <w:tcPr>
            <w:tcW w:w="659" w:type="dxa"/>
            <w:vAlign w:val="center"/>
          </w:tcPr>
          <w:p>
            <w:pPr>
              <w:autoSpaceDE w:val="0"/>
              <w:autoSpaceDN w:val="0"/>
              <w:adjustRightInd w:val="0"/>
              <w:spacing w:line="288" w:lineRule="auto"/>
              <w:ind w:firstLine="0" w:firstLineChars="0"/>
              <w:jc w:val="center"/>
              <w:rPr>
                <w:rFonts w:cs="Times New Roman"/>
                <w:color w:val="auto"/>
                <w:sz w:val="21"/>
                <w:szCs w:val="21"/>
              </w:rPr>
            </w:pPr>
            <w:r>
              <w:rPr>
                <w:rFonts w:cs="Times New Roman"/>
                <w:color w:val="auto"/>
                <w:sz w:val="21"/>
                <w:szCs w:val="21"/>
              </w:rPr>
              <w:t>6</w:t>
            </w:r>
          </w:p>
        </w:tc>
        <w:tc>
          <w:tcPr>
            <w:tcW w:w="564"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w:t>
            </w:r>
          </w:p>
        </w:tc>
        <w:tc>
          <w:tcPr>
            <w:tcW w:w="610"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w:t>
            </w:r>
          </w:p>
        </w:tc>
        <w:tc>
          <w:tcPr>
            <w:tcW w:w="610"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w:t>
            </w:r>
          </w:p>
        </w:tc>
        <w:tc>
          <w:tcPr>
            <w:tcW w:w="610"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w:t>
            </w:r>
          </w:p>
        </w:tc>
        <w:tc>
          <w:tcPr>
            <w:tcW w:w="670"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0</w:t>
            </w:r>
          </w:p>
        </w:tc>
        <w:tc>
          <w:tcPr>
            <w:tcW w:w="600"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w:t>
            </w:r>
          </w:p>
        </w:tc>
        <w:tc>
          <w:tcPr>
            <w:tcW w:w="601"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w:t>
            </w:r>
          </w:p>
        </w:tc>
        <w:tc>
          <w:tcPr>
            <w:tcW w:w="600"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ascii="宋体" w:hAnsi="宋体" w:cs="Times New Roman"/>
                <w:color w:val="auto"/>
                <w:sz w:val="21"/>
                <w:szCs w:val="21"/>
              </w:rPr>
              <w:t>合格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51" w:hRule="atLeast"/>
          <w:jc w:val="center"/>
        </w:trPr>
        <w:tc>
          <w:tcPr>
            <w:tcW w:w="1154" w:type="dxa"/>
            <w:vMerge w:val="continue"/>
            <w:vAlign w:val="center"/>
          </w:tcPr>
          <w:p>
            <w:pPr>
              <w:widowControl/>
              <w:spacing w:line="240" w:lineRule="auto"/>
              <w:ind w:firstLine="0" w:firstLineChars="0"/>
              <w:jc w:val="left"/>
              <w:rPr>
                <w:rFonts w:cs="Times New Roman"/>
                <w:color w:val="auto"/>
                <w:sz w:val="21"/>
                <w:szCs w:val="21"/>
              </w:rPr>
            </w:pPr>
          </w:p>
        </w:tc>
        <w:tc>
          <w:tcPr>
            <w:tcW w:w="1638" w:type="dxa"/>
            <w:vAlign w:val="center"/>
          </w:tcPr>
          <w:p>
            <w:pPr>
              <w:autoSpaceDE w:val="0"/>
              <w:autoSpaceDN w:val="0"/>
              <w:adjustRightInd w:val="0"/>
              <w:spacing w:line="264" w:lineRule="auto"/>
              <w:ind w:firstLine="0" w:firstLineChars="0"/>
              <w:jc w:val="center"/>
              <w:rPr>
                <w:rFonts w:cs="Times New Roman"/>
                <w:color w:val="auto"/>
                <w:sz w:val="21"/>
                <w:szCs w:val="21"/>
              </w:rPr>
            </w:pPr>
            <w:r>
              <w:rPr>
                <w:rFonts w:ascii="宋体" w:hAnsi="宋体" w:cs="Times New Roman"/>
                <w:color w:val="auto"/>
                <w:sz w:val="21"/>
                <w:szCs w:val="21"/>
              </w:rPr>
              <w:t>化学需氧量</w:t>
            </w:r>
          </w:p>
        </w:tc>
        <w:tc>
          <w:tcPr>
            <w:tcW w:w="659" w:type="dxa"/>
            <w:vAlign w:val="center"/>
          </w:tcPr>
          <w:p>
            <w:pPr>
              <w:autoSpaceDE w:val="0"/>
              <w:autoSpaceDN w:val="0"/>
              <w:adjustRightInd w:val="0"/>
              <w:spacing w:line="288" w:lineRule="auto"/>
              <w:ind w:firstLine="0" w:firstLineChars="0"/>
              <w:jc w:val="center"/>
              <w:rPr>
                <w:rFonts w:cs="Times New Roman"/>
                <w:color w:val="auto"/>
                <w:sz w:val="21"/>
                <w:szCs w:val="21"/>
              </w:rPr>
            </w:pPr>
            <w:r>
              <w:rPr>
                <w:rFonts w:cs="Times New Roman"/>
                <w:color w:val="auto"/>
                <w:sz w:val="21"/>
                <w:szCs w:val="21"/>
              </w:rPr>
              <w:t>7</w:t>
            </w:r>
          </w:p>
        </w:tc>
        <w:tc>
          <w:tcPr>
            <w:tcW w:w="564"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2</w:t>
            </w:r>
          </w:p>
        </w:tc>
        <w:tc>
          <w:tcPr>
            <w:tcW w:w="610"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1</w:t>
            </w:r>
          </w:p>
        </w:tc>
        <w:tc>
          <w:tcPr>
            <w:tcW w:w="610"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3.2</w:t>
            </w:r>
          </w:p>
        </w:tc>
        <w:tc>
          <w:tcPr>
            <w:tcW w:w="610"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2.8</w:t>
            </w:r>
          </w:p>
        </w:tc>
        <w:tc>
          <w:tcPr>
            <w:tcW w:w="670"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w:t>
            </w:r>
          </w:p>
        </w:tc>
        <w:tc>
          <w:tcPr>
            <w:tcW w:w="600"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w:t>
            </w:r>
          </w:p>
        </w:tc>
        <w:tc>
          <w:tcPr>
            <w:tcW w:w="601"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w:t>
            </w:r>
          </w:p>
        </w:tc>
        <w:tc>
          <w:tcPr>
            <w:tcW w:w="600"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ascii="宋体" w:hAnsi="宋体" w:cs="Times New Roman"/>
                <w:color w:val="auto"/>
                <w:sz w:val="21"/>
                <w:szCs w:val="21"/>
              </w:rPr>
              <w:t>合格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12" w:hRule="atLeast"/>
          <w:jc w:val="center"/>
        </w:trPr>
        <w:tc>
          <w:tcPr>
            <w:tcW w:w="1154" w:type="dxa"/>
            <w:vMerge w:val="continue"/>
            <w:vAlign w:val="center"/>
          </w:tcPr>
          <w:p>
            <w:pPr>
              <w:widowControl/>
              <w:spacing w:line="240" w:lineRule="auto"/>
              <w:ind w:firstLine="0" w:firstLineChars="0"/>
              <w:jc w:val="left"/>
              <w:rPr>
                <w:rFonts w:cs="Times New Roman"/>
                <w:color w:val="auto"/>
                <w:sz w:val="21"/>
                <w:szCs w:val="21"/>
              </w:rPr>
            </w:pPr>
          </w:p>
        </w:tc>
        <w:tc>
          <w:tcPr>
            <w:tcW w:w="1638" w:type="dxa"/>
            <w:vAlign w:val="center"/>
          </w:tcPr>
          <w:p>
            <w:pPr>
              <w:autoSpaceDE w:val="0"/>
              <w:autoSpaceDN w:val="0"/>
              <w:adjustRightInd w:val="0"/>
              <w:spacing w:line="264" w:lineRule="auto"/>
              <w:ind w:firstLine="0" w:firstLineChars="0"/>
              <w:jc w:val="center"/>
              <w:rPr>
                <w:rFonts w:cs="Times New Roman"/>
                <w:color w:val="auto"/>
                <w:sz w:val="21"/>
                <w:szCs w:val="21"/>
              </w:rPr>
            </w:pPr>
            <w:r>
              <w:rPr>
                <w:rFonts w:ascii="宋体" w:hAnsi="宋体" w:cs="Times New Roman"/>
                <w:color w:val="auto"/>
                <w:sz w:val="21"/>
                <w:szCs w:val="21"/>
              </w:rPr>
              <w:t>五日生化需氧量</w:t>
            </w:r>
          </w:p>
        </w:tc>
        <w:tc>
          <w:tcPr>
            <w:tcW w:w="659" w:type="dxa"/>
            <w:vAlign w:val="center"/>
          </w:tcPr>
          <w:p>
            <w:pPr>
              <w:autoSpaceDE w:val="0"/>
              <w:autoSpaceDN w:val="0"/>
              <w:adjustRightInd w:val="0"/>
              <w:spacing w:line="288" w:lineRule="auto"/>
              <w:ind w:firstLine="0" w:firstLineChars="0"/>
              <w:jc w:val="center"/>
              <w:rPr>
                <w:rFonts w:cs="Times New Roman"/>
                <w:color w:val="auto"/>
                <w:sz w:val="21"/>
                <w:szCs w:val="21"/>
              </w:rPr>
            </w:pPr>
            <w:r>
              <w:rPr>
                <w:rFonts w:cs="Times New Roman"/>
                <w:color w:val="auto"/>
                <w:sz w:val="21"/>
                <w:szCs w:val="21"/>
              </w:rPr>
              <w:t>7</w:t>
            </w:r>
          </w:p>
        </w:tc>
        <w:tc>
          <w:tcPr>
            <w:tcW w:w="564"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2</w:t>
            </w:r>
          </w:p>
        </w:tc>
        <w:tc>
          <w:tcPr>
            <w:tcW w:w="610"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1</w:t>
            </w:r>
          </w:p>
        </w:tc>
        <w:tc>
          <w:tcPr>
            <w:tcW w:w="610"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4.8</w:t>
            </w:r>
          </w:p>
        </w:tc>
        <w:tc>
          <w:tcPr>
            <w:tcW w:w="610"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4.2</w:t>
            </w:r>
          </w:p>
        </w:tc>
        <w:tc>
          <w:tcPr>
            <w:tcW w:w="670"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w:t>
            </w:r>
          </w:p>
        </w:tc>
        <w:tc>
          <w:tcPr>
            <w:tcW w:w="600"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w:t>
            </w:r>
          </w:p>
        </w:tc>
        <w:tc>
          <w:tcPr>
            <w:tcW w:w="601"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w:t>
            </w:r>
          </w:p>
        </w:tc>
        <w:tc>
          <w:tcPr>
            <w:tcW w:w="600"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ascii="宋体" w:hAnsi="宋体" w:cs="Times New Roman"/>
                <w:color w:val="auto"/>
                <w:sz w:val="21"/>
                <w:szCs w:val="21"/>
              </w:rPr>
              <w:t>合格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12" w:hRule="atLeast"/>
          <w:jc w:val="center"/>
        </w:trPr>
        <w:tc>
          <w:tcPr>
            <w:tcW w:w="1154" w:type="dxa"/>
            <w:vMerge w:val="continue"/>
            <w:vAlign w:val="center"/>
          </w:tcPr>
          <w:p>
            <w:pPr>
              <w:widowControl/>
              <w:spacing w:line="240" w:lineRule="auto"/>
              <w:ind w:firstLine="0" w:firstLineChars="0"/>
              <w:jc w:val="left"/>
              <w:rPr>
                <w:rFonts w:cs="Times New Roman"/>
                <w:color w:val="auto"/>
                <w:sz w:val="21"/>
                <w:szCs w:val="21"/>
              </w:rPr>
            </w:pPr>
          </w:p>
        </w:tc>
        <w:tc>
          <w:tcPr>
            <w:tcW w:w="1638" w:type="dxa"/>
            <w:vAlign w:val="center"/>
          </w:tcPr>
          <w:p>
            <w:pPr>
              <w:autoSpaceDE w:val="0"/>
              <w:autoSpaceDN w:val="0"/>
              <w:adjustRightInd w:val="0"/>
              <w:spacing w:line="264" w:lineRule="auto"/>
              <w:ind w:firstLine="0" w:firstLineChars="0"/>
              <w:jc w:val="center"/>
              <w:rPr>
                <w:rFonts w:cs="Times New Roman"/>
                <w:color w:val="auto"/>
                <w:sz w:val="21"/>
                <w:szCs w:val="21"/>
              </w:rPr>
            </w:pPr>
            <w:r>
              <w:rPr>
                <w:rFonts w:ascii="宋体" w:hAnsi="宋体" w:cs="Times New Roman"/>
                <w:color w:val="auto"/>
                <w:sz w:val="21"/>
                <w:szCs w:val="21"/>
              </w:rPr>
              <w:t>氨氮</w:t>
            </w:r>
          </w:p>
        </w:tc>
        <w:tc>
          <w:tcPr>
            <w:tcW w:w="659" w:type="dxa"/>
            <w:vAlign w:val="center"/>
          </w:tcPr>
          <w:p>
            <w:pPr>
              <w:autoSpaceDE w:val="0"/>
              <w:autoSpaceDN w:val="0"/>
              <w:adjustRightInd w:val="0"/>
              <w:spacing w:line="288" w:lineRule="auto"/>
              <w:ind w:firstLine="0" w:firstLineChars="0"/>
              <w:jc w:val="center"/>
              <w:rPr>
                <w:rFonts w:cs="Times New Roman"/>
                <w:color w:val="auto"/>
                <w:sz w:val="21"/>
                <w:szCs w:val="21"/>
              </w:rPr>
            </w:pPr>
            <w:r>
              <w:rPr>
                <w:rFonts w:cs="Times New Roman"/>
                <w:color w:val="auto"/>
                <w:sz w:val="21"/>
                <w:szCs w:val="21"/>
              </w:rPr>
              <w:t>7</w:t>
            </w:r>
          </w:p>
        </w:tc>
        <w:tc>
          <w:tcPr>
            <w:tcW w:w="564"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1</w:t>
            </w:r>
          </w:p>
        </w:tc>
        <w:tc>
          <w:tcPr>
            <w:tcW w:w="610"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1</w:t>
            </w:r>
          </w:p>
        </w:tc>
        <w:tc>
          <w:tcPr>
            <w:tcW w:w="610"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1.1</w:t>
            </w:r>
          </w:p>
        </w:tc>
        <w:tc>
          <w:tcPr>
            <w:tcW w:w="610"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1.8</w:t>
            </w:r>
          </w:p>
        </w:tc>
        <w:tc>
          <w:tcPr>
            <w:tcW w:w="670"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w:t>
            </w:r>
          </w:p>
        </w:tc>
        <w:tc>
          <w:tcPr>
            <w:tcW w:w="600"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w:t>
            </w:r>
          </w:p>
        </w:tc>
        <w:tc>
          <w:tcPr>
            <w:tcW w:w="601"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w:t>
            </w:r>
          </w:p>
        </w:tc>
        <w:tc>
          <w:tcPr>
            <w:tcW w:w="600"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ascii="宋体" w:hAnsi="宋体" w:cs="Times New Roman"/>
                <w:color w:val="auto"/>
                <w:sz w:val="21"/>
                <w:szCs w:val="21"/>
              </w:rPr>
              <w:t>合格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414" w:hRule="atLeast"/>
          <w:jc w:val="center"/>
        </w:trPr>
        <w:tc>
          <w:tcPr>
            <w:tcW w:w="1154" w:type="dxa"/>
            <w:vMerge w:val="continue"/>
            <w:vAlign w:val="center"/>
          </w:tcPr>
          <w:p>
            <w:pPr>
              <w:widowControl/>
              <w:spacing w:line="240" w:lineRule="auto"/>
              <w:ind w:firstLine="0" w:firstLineChars="0"/>
              <w:jc w:val="left"/>
              <w:rPr>
                <w:rFonts w:cs="Times New Roman"/>
                <w:color w:val="auto"/>
                <w:sz w:val="21"/>
                <w:szCs w:val="21"/>
              </w:rPr>
            </w:pPr>
          </w:p>
        </w:tc>
        <w:tc>
          <w:tcPr>
            <w:tcW w:w="1638" w:type="dxa"/>
            <w:vAlign w:val="center"/>
          </w:tcPr>
          <w:p>
            <w:pPr>
              <w:autoSpaceDE w:val="0"/>
              <w:autoSpaceDN w:val="0"/>
              <w:adjustRightInd w:val="0"/>
              <w:spacing w:line="240" w:lineRule="auto"/>
              <w:ind w:firstLine="0" w:firstLineChars="0"/>
              <w:jc w:val="center"/>
              <w:rPr>
                <w:rFonts w:cs="Times New Roman"/>
                <w:color w:val="auto"/>
                <w:sz w:val="21"/>
                <w:szCs w:val="21"/>
              </w:rPr>
            </w:pPr>
            <w:r>
              <w:rPr>
                <w:rFonts w:ascii="宋体" w:hAnsi="宋体" w:cs="Times New Roman"/>
                <w:color w:val="auto"/>
                <w:sz w:val="21"/>
                <w:szCs w:val="21"/>
              </w:rPr>
              <w:t>动植物油</w:t>
            </w:r>
          </w:p>
        </w:tc>
        <w:tc>
          <w:tcPr>
            <w:tcW w:w="659" w:type="dxa"/>
            <w:vAlign w:val="center"/>
          </w:tcPr>
          <w:p>
            <w:pPr>
              <w:autoSpaceDE w:val="0"/>
              <w:autoSpaceDN w:val="0"/>
              <w:adjustRightInd w:val="0"/>
              <w:spacing w:line="240" w:lineRule="auto"/>
              <w:ind w:firstLine="0" w:firstLineChars="0"/>
              <w:jc w:val="center"/>
              <w:rPr>
                <w:rFonts w:cs="Times New Roman"/>
                <w:color w:val="auto"/>
                <w:sz w:val="21"/>
                <w:szCs w:val="21"/>
              </w:rPr>
            </w:pPr>
            <w:r>
              <w:rPr>
                <w:rFonts w:cs="Times New Roman"/>
                <w:color w:val="auto"/>
                <w:sz w:val="21"/>
                <w:szCs w:val="21"/>
              </w:rPr>
              <w:t>6</w:t>
            </w:r>
          </w:p>
        </w:tc>
        <w:tc>
          <w:tcPr>
            <w:tcW w:w="564" w:type="dxa"/>
            <w:vAlign w:val="center"/>
          </w:tcPr>
          <w:p>
            <w:pPr>
              <w:autoSpaceDE w:val="0"/>
              <w:autoSpaceDN w:val="0"/>
              <w:adjustRightInd w:val="0"/>
              <w:spacing w:line="240" w:lineRule="auto"/>
              <w:ind w:firstLine="0" w:firstLineChars="0"/>
              <w:jc w:val="center"/>
              <w:rPr>
                <w:rFonts w:cs="Times New Roman"/>
                <w:color w:val="auto"/>
                <w:sz w:val="21"/>
                <w:szCs w:val="21"/>
              </w:rPr>
            </w:pPr>
            <w:r>
              <w:rPr>
                <w:rFonts w:cs="Times New Roman"/>
                <w:color w:val="auto"/>
                <w:sz w:val="21"/>
                <w:szCs w:val="21"/>
              </w:rPr>
              <w:t>1</w:t>
            </w:r>
          </w:p>
        </w:tc>
        <w:tc>
          <w:tcPr>
            <w:tcW w:w="610" w:type="dxa"/>
            <w:vAlign w:val="center"/>
          </w:tcPr>
          <w:p>
            <w:pPr>
              <w:autoSpaceDE w:val="0"/>
              <w:autoSpaceDN w:val="0"/>
              <w:adjustRightInd w:val="0"/>
              <w:spacing w:line="240" w:lineRule="auto"/>
              <w:ind w:firstLine="0" w:firstLineChars="0"/>
              <w:jc w:val="center"/>
              <w:rPr>
                <w:rFonts w:cs="Times New Roman"/>
                <w:color w:val="auto"/>
                <w:sz w:val="21"/>
                <w:szCs w:val="21"/>
              </w:rPr>
            </w:pPr>
            <w:r>
              <w:rPr>
                <w:rFonts w:cs="Times New Roman"/>
                <w:color w:val="auto"/>
                <w:sz w:val="21"/>
                <w:szCs w:val="21"/>
              </w:rPr>
              <w:t>1</w:t>
            </w:r>
          </w:p>
        </w:tc>
        <w:tc>
          <w:tcPr>
            <w:tcW w:w="610" w:type="dxa"/>
            <w:vAlign w:val="center"/>
          </w:tcPr>
          <w:p>
            <w:pPr>
              <w:autoSpaceDE w:val="0"/>
              <w:autoSpaceDN w:val="0"/>
              <w:adjustRightInd w:val="0"/>
              <w:spacing w:line="240" w:lineRule="auto"/>
              <w:ind w:firstLine="0" w:firstLineChars="0"/>
              <w:jc w:val="center"/>
              <w:rPr>
                <w:rFonts w:cs="Times New Roman"/>
                <w:color w:val="auto"/>
                <w:sz w:val="21"/>
                <w:szCs w:val="21"/>
              </w:rPr>
            </w:pPr>
            <w:r>
              <w:rPr>
                <w:rFonts w:cs="Times New Roman"/>
                <w:color w:val="auto"/>
                <w:sz w:val="21"/>
                <w:szCs w:val="21"/>
              </w:rPr>
              <w:t>--</w:t>
            </w:r>
          </w:p>
        </w:tc>
        <w:tc>
          <w:tcPr>
            <w:tcW w:w="610" w:type="dxa"/>
            <w:vAlign w:val="center"/>
          </w:tcPr>
          <w:p>
            <w:pPr>
              <w:autoSpaceDE w:val="0"/>
              <w:autoSpaceDN w:val="0"/>
              <w:adjustRightInd w:val="0"/>
              <w:spacing w:line="240" w:lineRule="auto"/>
              <w:ind w:firstLine="0" w:firstLineChars="0"/>
              <w:jc w:val="center"/>
              <w:rPr>
                <w:rFonts w:cs="Times New Roman"/>
                <w:color w:val="auto"/>
                <w:sz w:val="21"/>
                <w:szCs w:val="21"/>
              </w:rPr>
            </w:pPr>
            <w:r>
              <w:rPr>
                <w:rFonts w:cs="Times New Roman"/>
                <w:color w:val="auto"/>
                <w:sz w:val="21"/>
                <w:szCs w:val="21"/>
              </w:rPr>
              <w:t>4.8</w:t>
            </w:r>
          </w:p>
        </w:tc>
        <w:tc>
          <w:tcPr>
            <w:tcW w:w="670" w:type="dxa"/>
            <w:vAlign w:val="center"/>
          </w:tcPr>
          <w:p>
            <w:pPr>
              <w:autoSpaceDE w:val="0"/>
              <w:autoSpaceDN w:val="0"/>
              <w:adjustRightInd w:val="0"/>
              <w:spacing w:line="240" w:lineRule="auto"/>
              <w:ind w:firstLine="0" w:firstLineChars="0"/>
              <w:jc w:val="center"/>
              <w:rPr>
                <w:rFonts w:cs="Times New Roman"/>
                <w:color w:val="auto"/>
                <w:sz w:val="21"/>
                <w:szCs w:val="21"/>
              </w:rPr>
            </w:pPr>
            <w:r>
              <w:rPr>
                <w:rFonts w:cs="Times New Roman"/>
                <w:color w:val="auto"/>
                <w:sz w:val="21"/>
                <w:szCs w:val="21"/>
              </w:rPr>
              <w:t>--</w:t>
            </w:r>
          </w:p>
        </w:tc>
        <w:tc>
          <w:tcPr>
            <w:tcW w:w="600" w:type="dxa"/>
            <w:vAlign w:val="center"/>
          </w:tcPr>
          <w:p>
            <w:pPr>
              <w:autoSpaceDE w:val="0"/>
              <w:autoSpaceDN w:val="0"/>
              <w:adjustRightInd w:val="0"/>
              <w:spacing w:line="240" w:lineRule="auto"/>
              <w:ind w:firstLine="0" w:firstLineChars="0"/>
              <w:jc w:val="center"/>
              <w:rPr>
                <w:rFonts w:cs="Times New Roman"/>
                <w:color w:val="auto"/>
                <w:sz w:val="21"/>
                <w:szCs w:val="21"/>
              </w:rPr>
            </w:pPr>
            <w:r>
              <w:rPr>
                <w:rFonts w:cs="Times New Roman"/>
                <w:color w:val="auto"/>
                <w:sz w:val="21"/>
                <w:szCs w:val="21"/>
              </w:rPr>
              <w:t>--</w:t>
            </w:r>
          </w:p>
        </w:tc>
        <w:tc>
          <w:tcPr>
            <w:tcW w:w="601" w:type="dxa"/>
            <w:vAlign w:val="center"/>
          </w:tcPr>
          <w:p>
            <w:pPr>
              <w:autoSpaceDE w:val="0"/>
              <w:autoSpaceDN w:val="0"/>
              <w:adjustRightInd w:val="0"/>
              <w:spacing w:line="240" w:lineRule="auto"/>
              <w:ind w:firstLine="0" w:firstLineChars="0"/>
              <w:jc w:val="center"/>
              <w:rPr>
                <w:rFonts w:cs="Times New Roman"/>
                <w:color w:val="auto"/>
                <w:sz w:val="21"/>
                <w:szCs w:val="21"/>
              </w:rPr>
            </w:pPr>
            <w:r>
              <w:rPr>
                <w:rFonts w:cs="Times New Roman"/>
                <w:color w:val="auto"/>
                <w:sz w:val="21"/>
                <w:szCs w:val="21"/>
              </w:rPr>
              <w:t>--</w:t>
            </w:r>
          </w:p>
        </w:tc>
        <w:tc>
          <w:tcPr>
            <w:tcW w:w="600" w:type="dxa"/>
            <w:vAlign w:val="center"/>
          </w:tcPr>
          <w:p>
            <w:pPr>
              <w:autoSpaceDE w:val="0"/>
              <w:autoSpaceDN w:val="0"/>
              <w:adjustRightInd w:val="0"/>
              <w:spacing w:line="240" w:lineRule="auto"/>
              <w:ind w:firstLine="0" w:firstLineChars="0"/>
              <w:jc w:val="center"/>
              <w:rPr>
                <w:rFonts w:cs="Times New Roman"/>
                <w:color w:val="auto"/>
                <w:sz w:val="21"/>
                <w:szCs w:val="21"/>
              </w:rPr>
            </w:pPr>
            <w:r>
              <w:rPr>
                <w:rFonts w:ascii="宋体" w:hAnsi="宋体" w:cs="Times New Roman"/>
                <w:color w:val="auto"/>
                <w:sz w:val="21"/>
                <w:szCs w:val="21"/>
              </w:rPr>
              <w:t>合格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12" w:hRule="atLeast"/>
          <w:jc w:val="center"/>
        </w:trPr>
        <w:tc>
          <w:tcPr>
            <w:tcW w:w="1154" w:type="dxa"/>
            <w:vMerge w:val="restart"/>
            <w:vAlign w:val="center"/>
          </w:tcPr>
          <w:p>
            <w:pPr>
              <w:autoSpaceDE w:val="0"/>
              <w:autoSpaceDN w:val="0"/>
              <w:adjustRightInd w:val="0"/>
              <w:spacing w:before="31" w:beforeLines="10" w:after="31" w:afterLines="10" w:line="288" w:lineRule="auto"/>
              <w:ind w:firstLine="0" w:firstLineChars="0"/>
              <w:jc w:val="center"/>
              <w:rPr>
                <w:rFonts w:cs="Times New Roman"/>
                <w:color w:val="auto"/>
                <w:sz w:val="21"/>
                <w:szCs w:val="21"/>
              </w:rPr>
            </w:pPr>
            <w:r>
              <w:rPr>
                <w:rFonts w:cs="Times New Roman"/>
                <w:color w:val="auto"/>
                <w:sz w:val="21"/>
                <w:szCs w:val="21"/>
              </w:rPr>
              <w:t>2025.12.11</w:t>
            </w:r>
          </w:p>
        </w:tc>
        <w:tc>
          <w:tcPr>
            <w:tcW w:w="1638" w:type="dxa"/>
            <w:vAlign w:val="center"/>
          </w:tcPr>
          <w:p>
            <w:pPr>
              <w:autoSpaceDE w:val="0"/>
              <w:autoSpaceDN w:val="0"/>
              <w:adjustRightInd w:val="0"/>
              <w:spacing w:line="264" w:lineRule="auto"/>
              <w:ind w:firstLine="0" w:firstLineChars="0"/>
              <w:jc w:val="center"/>
              <w:rPr>
                <w:rFonts w:cs="Times New Roman"/>
                <w:color w:val="auto"/>
                <w:sz w:val="21"/>
                <w:szCs w:val="21"/>
              </w:rPr>
            </w:pPr>
            <w:r>
              <w:rPr>
                <w:rFonts w:cs="Times New Roman"/>
                <w:color w:val="auto"/>
                <w:sz w:val="21"/>
                <w:szCs w:val="21"/>
              </w:rPr>
              <w:t>pH</w:t>
            </w:r>
            <w:r>
              <w:rPr>
                <w:rFonts w:ascii="宋体" w:hAnsi="宋体" w:cs="Times New Roman"/>
                <w:color w:val="auto"/>
                <w:sz w:val="21"/>
                <w:szCs w:val="21"/>
              </w:rPr>
              <w:t>值（无量纲）</w:t>
            </w:r>
            <w:r>
              <w:rPr>
                <w:rFonts w:cs="Times New Roman"/>
                <w:color w:val="auto"/>
                <w:sz w:val="21"/>
                <w:szCs w:val="21"/>
              </w:rPr>
              <w:t xml:space="preserve"> </w:t>
            </w:r>
          </w:p>
        </w:tc>
        <w:tc>
          <w:tcPr>
            <w:tcW w:w="659" w:type="dxa"/>
            <w:vAlign w:val="center"/>
          </w:tcPr>
          <w:p>
            <w:pPr>
              <w:autoSpaceDE w:val="0"/>
              <w:autoSpaceDN w:val="0"/>
              <w:adjustRightInd w:val="0"/>
              <w:spacing w:line="288" w:lineRule="auto"/>
              <w:ind w:firstLine="0" w:firstLineChars="0"/>
              <w:jc w:val="center"/>
              <w:rPr>
                <w:rFonts w:cs="Times New Roman"/>
                <w:color w:val="auto"/>
                <w:sz w:val="21"/>
                <w:szCs w:val="21"/>
              </w:rPr>
            </w:pPr>
            <w:r>
              <w:rPr>
                <w:rFonts w:cs="Times New Roman"/>
                <w:color w:val="auto"/>
                <w:sz w:val="21"/>
                <w:szCs w:val="21"/>
              </w:rPr>
              <w:t>6</w:t>
            </w:r>
          </w:p>
        </w:tc>
        <w:tc>
          <w:tcPr>
            <w:tcW w:w="564"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w:t>
            </w:r>
          </w:p>
        </w:tc>
        <w:tc>
          <w:tcPr>
            <w:tcW w:w="610"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w:t>
            </w:r>
          </w:p>
        </w:tc>
        <w:tc>
          <w:tcPr>
            <w:tcW w:w="610"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w:t>
            </w:r>
          </w:p>
        </w:tc>
        <w:tc>
          <w:tcPr>
            <w:tcW w:w="610"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w:t>
            </w:r>
          </w:p>
        </w:tc>
        <w:tc>
          <w:tcPr>
            <w:tcW w:w="670"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0</w:t>
            </w:r>
          </w:p>
        </w:tc>
        <w:tc>
          <w:tcPr>
            <w:tcW w:w="600"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w:t>
            </w:r>
          </w:p>
        </w:tc>
        <w:tc>
          <w:tcPr>
            <w:tcW w:w="601"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w:t>
            </w:r>
          </w:p>
        </w:tc>
        <w:tc>
          <w:tcPr>
            <w:tcW w:w="600"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ascii="宋体" w:hAnsi="宋体" w:cs="Times New Roman"/>
                <w:color w:val="auto"/>
                <w:sz w:val="21"/>
                <w:szCs w:val="21"/>
              </w:rPr>
              <w:t>合格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12" w:hRule="atLeast"/>
          <w:jc w:val="center"/>
        </w:trPr>
        <w:tc>
          <w:tcPr>
            <w:tcW w:w="1154" w:type="dxa"/>
            <w:vMerge w:val="continue"/>
            <w:vAlign w:val="center"/>
          </w:tcPr>
          <w:p>
            <w:pPr>
              <w:widowControl/>
              <w:spacing w:line="240" w:lineRule="auto"/>
              <w:ind w:firstLine="0" w:firstLineChars="0"/>
              <w:jc w:val="left"/>
              <w:rPr>
                <w:rFonts w:cs="Times New Roman"/>
                <w:color w:val="auto"/>
                <w:sz w:val="21"/>
                <w:szCs w:val="21"/>
              </w:rPr>
            </w:pPr>
          </w:p>
        </w:tc>
        <w:tc>
          <w:tcPr>
            <w:tcW w:w="1638" w:type="dxa"/>
            <w:vAlign w:val="center"/>
          </w:tcPr>
          <w:p>
            <w:pPr>
              <w:autoSpaceDE w:val="0"/>
              <w:autoSpaceDN w:val="0"/>
              <w:adjustRightInd w:val="0"/>
              <w:spacing w:line="264" w:lineRule="auto"/>
              <w:ind w:firstLine="0" w:firstLineChars="0"/>
              <w:jc w:val="center"/>
              <w:rPr>
                <w:rFonts w:cs="Times New Roman"/>
                <w:color w:val="auto"/>
                <w:sz w:val="21"/>
                <w:szCs w:val="21"/>
              </w:rPr>
            </w:pPr>
            <w:r>
              <w:rPr>
                <w:rFonts w:ascii="宋体" w:hAnsi="宋体" w:cs="Times New Roman"/>
                <w:color w:val="auto"/>
                <w:sz w:val="21"/>
                <w:szCs w:val="21"/>
              </w:rPr>
              <w:t>化学需氧量</w:t>
            </w:r>
          </w:p>
        </w:tc>
        <w:tc>
          <w:tcPr>
            <w:tcW w:w="659" w:type="dxa"/>
            <w:vAlign w:val="center"/>
          </w:tcPr>
          <w:p>
            <w:pPr>
              <w:autoSpaceDE w:val="0"/>
              <w:autoSpaceDN w:val="0"/>
              <w:adjustRightInd w:val="0"/>
              <w:spacing w:line="288" w:lineRule="auto"/>
              <w:ind w:firstLine="0" w:firstLineChars="0"/>
              <w:jc w:val="center"/>
              <w:rPr>
                <w:rFonts w:cs="Times New Roman"/>
                <w:color w:val="auto"/>
                <w:sz w:val="21"/>
                <w:szCs w:val="21"/>
              </w:rPr>
            </w:pPr>
            <w:r>
              <w:rPr>
                <w:rFonts w:cs="Times New Roman"/>
                <w:color w:val="auto"/>
                <w:sz w:val="21"/>
                <w:szCs w:val="21"/>
              </w:rPr>
              <w:t>7</w:t>
            </w:r>
          </w:p>
        </w:tc>
        <w:tc>
          <w:tcPr>
            <w:tcW w:w="564"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2</w:t>
            </w:r>
          </w:p>
        </w:tc>
        <w:tc>
          <w:tcPr>
            <w:tcW w:w="610"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1</w:t>
            </w:r>
          </w:p>
        </w:tc>
        <w:tc>
          <w:tcPr>
            <w:tcW w:w="610"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1.6</w:t>
            </w:r>
          </w:p>
        </w:tc>
        <w:tc>
          <w:tcPr>
            <w:tcW w:w="610"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2.8</w:t>
            </w:r>
          </w:p>
        </w:tc>
        <w:tc>
          <w:tcPr>
            <w:tcW w:w="670"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w:t>
            </w:r>
          </w:p>
        </w:tc>
        <w:tc>
          <w:tcPr>
            <w:tcW w:w="600"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3.9</w:t>
            </w:r>
          </w:p>
        </w:tc>
        <w:tc>
          <w:tcPr>
            <w:tcW w:w="601"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w:t>
            </w:r>
          </w:p>
        </w:tc>
        <w:tc>
          <w:tcPr>
            <w:tcW w:w="600"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ascii="宋体" w:hAnsi="宋体" w:cs="Times New Roman"/>
                <w:color w:val="auto"/>
                <w:sz w:val="21"/>
                <w:szCs w:val="21"/>
              </w:rPr>
              <w:t>合格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12" w:hRule="atLeast"/>
          <w:jc w:val="center"/>
        </w:trPr>
        <w:tc>
          <w:tcPr>
            <w:tcW w:w="1154" w:type="dxa"/>
            <w:vMerge w:val="continue"/>
            <w:vAlign w:val="center"/>
          </w:tcPr>
          <w:p>
            <w:pPr>
              <w:widowControl/>
              <w:spacing w:line="240" w:lineRule="auto"/>
              <w:ind w:firstLine="0" w:firstLineChars="0"/>
              <w:jc w:val="left"/>
              <w:rPr>
                <w:rFonts w:cs="Times New Roman"/>
                <w:color w:val="auto"/>
                <w:sz w:val="21"/>
                <w:szCs w:val="21"/>
              </w:rPr>
            </w:pPr>
          </w:p>
        </w:tc>
        <w:tc>
          <w:tcPr>
            <w:tcW w:w="1638" w:type="dxa"/>
            <w:vAlign w:val="center"/>
          </w:tcPr>
          <w:p>
            <w:pPr>
              <w:autoSpaceDE w:val="0"/>
              <w:autoSpaceDN w:val="0"/>
              <w:adjustRightInd w:val="0"/>
              <w:spacing w:line="264" w:lineRule="auto"/>
              <w:ind w:firstLine="0" w:firstLineChars="0"/>
              <w:jc w:val="center"/>
              <w:rPr>
                <w:rFonts w:cs="Times New Roman"/>
                <w:color w:val="auto"/>
                <w:sz w:val="21"/>
                <w:szCs w:val="21"/>
              </w:rPr>
            </w:pPr>
            <w:r>
              <w:rPr>
                <w:rFonts w:ascii="宋体" w:hAnsi="宋体" w:cs="Times New Roman"/>
                <w:color w:val="auto"/>
                <w:sz w:val="21"/>
                <w:szCs w:val="21"/>
              </w:rPr>
              <w:t>五日生化需氧量</w:t>
            </w:r>
          </w:p>
        </w:tc>
        <w:tc>
          <w:tcPr>
            <w:tcW w:w="659" w:type="dxa"/>
            <w:vAlign w:val="center"/>
          </w:tcPr>
          <w:p>
            <w:pPr>
              <w:autoSpaceDE w:val="0"/>
              <w:autoSpaceDN w:val="0"/>
              <w:adjustRightInd w:val="0"/>
              <w:spacing w:line="288" w:lineRule="auto"/>
              <w:ind w:firstLine="0" w:firstLineChars="0"/>
              <w:jc w:val="center"/>
              <w:rPr>
                <w:rFonts w:cs="Times New Roman"/>
                <w:color w:val="auto"/>
                <w:sz w:val="21"/>
                <w:szCs w:val="21"/>
              </w:rPr>
            </w:pPr>
            <w:r>
              <w:rPr>
                <w:rFonts w:cs="Times New Roman"/>
                <w:color w:val="auto"/>
                <w:sz w:val="21"/>
                <w:szCs w:val="21"/>
              </w:rPr>
              <w:t>7</w:t>
            </w:r>
          </w:p>
        </w:tc>
        <w:tc>
          <w:tcPr>
            <w:tcW w:w="564"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2</w:t>
            </w:r>
          </w:p>
        </w:tc>
        <w:tc>
          <w:tcPr>
            <w:tcW w:w="610"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1</w:t>
            </w:r>
          </w:p>
        </w:tc>
        <w:tc>
          <w:tcPr>
            <w:tcW w:w="610"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1.2</w:t>
            </w:r>
          </w:p>
        </w:tc>
        <w:tc>
          <w:tcPr>
            <w:tcW w:w="610"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2.9</w:t>
            </w:r>
          </w:p>
        </w:tc>
        <w:tc>
          <w:tcPr>
            <w:tcW w:w="670"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w:t>
            </w:r>
          </w:p>
        </w:tc>
        <w:tc>
          <w:tcPr>
            <w:tcW w:w="600"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1.0</w:t>
            </w:r>
          </w:p>
        </w:tc>
        <w:tc>
          <w:tcPr>
            <w:tcW w:w="601"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w:t>
            </w:r>
          </w:p>
        </w:tc>
        <w:tc>
          <w:tcPr>
            <w:tcW w:w="600"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ascii="宋体" w:hAnsi="宋体" w:cs="Times New Roman"/>
                <w:color w:val="auto"/>
                <w:sz w:val="21"/>
                <w:szCs w:val="21"/>
              </w:rPr>
              <w:t>合格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12" w:hRule="atLeast"/>
          <w:jc w:val="center"/>
        </w:trPr>
        <w:tc>
          <w:tcPr>
            <w:tcW w:w="1154" w:type="dxa"/>
            <w:vMerge w:val="continue"/>
            <w:vAlign w:val="center"/>
          </w:tcPr>
          <w:p>
            <w:pPr>
              <w:widowControl/>
              <w:spacing w:line="240" w:lineRule="auto"/>
              <w:ind w:firstLine="0" w:firstLineChars="0"/>
              <w:jc w:val="left"/>
              <w:rPr>
                <w:rFonts w:cs="Times New Roman"/>
                <w:color w:val="auto"/>
                <w:sz w:val="21"/>
                <w:szCs w:val="21"/>
              </w:rPr>
            </w:pPr>
          </w:p>
        </w:tc>
        <w:tc>
          <w:tcPr>
            <w:tcW w:w="1638" w:type="dxa"/>
            <w:vAlign w:val="center"/>
          </w:tcPr>
          <w:p>
            <w:pPr>
              <w:autoSpaceDE w:val="0"/>
              <w:autoSpaceDN w:val="0"/>
              <w:adjustRightInd w:val="0"/>
              <w:spacing w:line="264" w:lineRule="auto"/>
              <w:ind w:firstLine="0" w:firstLineChars="0"/>
              <w:jc w:val="center"/>
              <w:rPr>
                <w:rFonts w:cs="Times New Roman"/>
                <w:color w:val="auto"/>
                <w:sz w:val="21"/>
                <w:szCs w:val="21"/>
              </w:rPr>
            </w:pPr>
            <w:r>
              <w:rPr>
                <w:rFonts w:ascii="宋体" w:hAnsi="宋体" w:cs="Times New Roman"/>
                <w:color w:val="auto"/>
                <w:sz w:val="21"/>
                <w:szCs w:val="21"/>
              </w:rPr>
              <w:t>氨氮</w:t>
            </w:r>
          </w:p>
        </w:tc>
        <w:tc>
          <w:tcPr>
            <w:tcW w:w="659" w:type="dxa"/>
            <w:vAlign w:val="center"/>
          </w:tcPr>
          <w:p>
            <w:pPr>
              <w:autoSpaceDE w:val="0"/>
              <w:autoSpaceDN w:val="0"/>
              <w:adjustRightInd w:val="0"/>
              <w:spacing w:line="288" w:lineRule="auto"/>
              <w:ind w:firstLine="0" w:firstLineChars="0"/>
              <w:jc w:val="center"/>
              <w:rPr>
                <w:rFonts w:cs="Times New Roman"/>
                <w:color w:val="auto"/>
                <w:sz w:val="21"/>
                <w:szCs w:val="21"/>
              </w:rPr>
            </w:pPr>
            <w:r>
              <w:rPr>
                <w:rFonts w:cs="Times New Roman"/>
                <w:color w:val="auto"/>
                <w:sz w:val="21"/>
                <w:szCs w:val="21"/>
              </w:rPr>
              <w:t>7</w:t>
            </w:r>
          </w:p>
        </w:tc>
        <w:tc>
          <w:tcPr>
            <w:tcW w:w="564"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1</w:t>
            </w:r>
          </w:p>
        </w:tc>
        <w:tc>
          <w:tcPr>
            <w:tcW w:w="610"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1</w:t>
            </w:r>
          </w:p>
        </w:tc>
        <w:tc>
          <w:tcPr>
            <w:tcW w:w="610"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3.1</w:t>
            </w:r>
          </w:p>
        </w:tc>
        <w:tc>
          <w:tcPr>
            <w:tcW w:w="610"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2.1</w:t>
            </w:r>
          </w:p>
        </w:tc>
        <w:tc>
          <w:tcPr>
            <w:tcW w:w="670"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w:t>
            </w:r>
          </w:p>
        </w:tc>
        <w:tc>
          <w:tcPr>
            <w:tcW w:w="600"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2.3</w:t>
            </w:r>
          </w:p>
        </w:tc>
        <w:tc>
          <w:tcPr>
            <w:tcW w:w="601"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w:t>
            </w:r>
          </w:p>
        </w:tc>
        <w:tc>
          <w:tcPr>
            <w:tcW w:w="600"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ascii="宋体" w:hAnsi="宋体" w:cs="Times New Roman"/>
                <w:color w:val="auto"/>
                <w:sz w:val="21"/>
                <w:szCs w:val="21"/>
              </w:rPr>
              <w:t>合格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12" w:hRule="atLeast"/>
          <w:jc w:val="center"/>
        </w:trPr>
        <w:tc>
          <w:tcPr>
            <w:tcW w:w="1154" w:type="dxa"/>
            <w:vMerge w:val="continue"/>
            <w:vAlign w:val="center"/>
          </w:tcPr>
          <w:p>
            <w:pPr>
              <w:widowControl/>
              <w:spacing w:line="240" w:lineRule="auto"/>
              <w:ind w:firstLine="0" w:firstLineChars="0"/>
              <w:jc w:val="left"/>
              <w:rPr>
                <w:rFonts w:cs="Times New Roman"/>
                <w:color w:val="auto"/>
                <w:sz w:val="21"/>
                <w:szCs w:val="21"/>
              </w:rPr>
            </w:pPr>
          </w:p>
        </w:tc>
        <w:tc>
          <w:tcPr>
            <w:tcW w:w="1638" w:type="dxa"/>
            <w:vAlign w:val="center"/>
          </w:tcPr>
          <w:p>
            <w:pPr>
              <w:autoSpaceDE w:val="0"/>
              <w:autoSpaceDN w:val="0"/>
              <w:adjustRightInd w:val="0"/>
              <w:spacing w:line="240" w:lineRule="auto"/>
              <w:ind w:firstLine="0" w:firstLineChars="0"/>
              <w:jc w:val="center"/>
              <w:rPr>
                <w:rFonts w:cs="Times New Roman"/>
                <w:color w:val="auto"/>
                <w:sz w:val="21"/>
                <w:szCs w:val="21"/>
              </w:rPr>
            </w:pPr>
            <w:r>
              <w:rPr>
                <w:rFonts w:ascii="宋体" w:hAnsi="宋体" w:cs="Times New Roman"/>
                <w:color w:val="auto"/>
                <w:sz w:val="21"/>
                <w:szCs w:val="21"/>
              </w:rPr>
              <w:t>动植物油</w:t>
            </w:r>
          </w:p>
        </w:tc>
        <w:tc>
          <w:tcPr>
            <w:tcW w:w="659" w:type="dxa"/>
            <w:vAlign w:val="center"/>
          </w:tcPr>
          <w:p>
            <w:pPr>
              <w:autoSpaceDE w:val="0"/>
              <w:autoSpaceDN w:val="0"/>
              <w:adjustRightInd w:val="0"/>
              <w:spacing w:line="240" w:lineRule="auto"/>
              <w:ind w:firstLine="0" w:firstLineChars="0"/>
              <w:jc w:val="center"/>
              <w:rPr>
                <w:rFonts w:cs="Times New Roman"/>
                <w:color w:val="auto"/>
                <w:sz w:val="21"/>
                <w:szCs w:val="21"/>
              </w:rPr>
            </w:pPr>
            <w:r>
              <w:rPr>
                <w:rFonts w:cs="Times New Roman"/>
                <w:color w:val="auto"/>
                <w:sz w:val="21"/>
                <w:szCs w:val="21"/>
              </w:rPr>
              <w:t>6</w:t>
            </w:r>
          </w:p>
        </w:tc>
        <w:tc>
          <w:tcPr>
            <w:tcW w:w="564"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1</w:t>
            </w:r>
          </w:p>
        </w:tc>
        <w:tc>
          <w:tcPr>
            <w:tcW w:w="610"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1</w:t>
            </w:r>
          </w:p>
        </w:tc>
        <w:tc>
          <w:tcPr>
            <w:tcW w:w="610"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w:t>
            </w:r>
          </w:p>
        </w:tc>
        <w:tc>
          <w:tcPr>
            <w:tcW w:w="610"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3.5</w:t>
            </w:r>
          </w:p>
        </w:tc>
        <w:tc>
          <w:tcPr>
            <w:tcW w:w="670"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w:t>
            </w:r>
          </w:p>
        </w:tc>
        <w:tc>
          <w:tcPr>
            <w:tcW w:w="600"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w:t>
            </w:r>
          </w:p>
        </w:tc>
        <w:tc>
          <w:tcPr>
            <w:tcW w:w="601"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cs="Times New Roman"/>
                <w:color w:val="auto"/>
                <w:sz w:val="21"/>
                <w:szCs w:val="21"/>
              </w:rPr>
              <w:t>--</w:t>
            </w:r>
          </w:p>
        </w:tc>
        <w:tc>
          <w:tcPr>
            <w:tcW w:w="600" w:type="dxa"/>
            <w:vAlign w:val="center"/>
          </w:tcPr>
          <w:p>
            <w:pPr>
              <w:autoSpaceDE w:val="0"/>
              <w:autoSpaceDN w:val="0"/>
              <w:adjustRightInd w:val="0"/>
              <w:spacing w:line="312" w:lineRule="auto"/>
              <w:ind w:firstLine="0" w:firstLineChars="0"/>
              <w:jc w:val="center"/>
              <w:rPr>
                <w:rFonts w:cs="Times New Roman"/>
                <w:color w:val="auto"/>
                <w:sz w:val="21"/>
                <w:szCs w:val="21"/>
              </w:rPr>
            </w:pPr>
            <w:r>
              <w:rPr>
                <w:rFonts w:ascii="宋体" w:hAnsi="宋体" w:cs="Times New Roman"/>
                <w:color w:val="auto"/>
                <w:sz w:val="21"/>
                <w:szCs w:val="21"/>
              </w:rPr>
              <w:t>合格</w:t>
            </w:r>
          </w:p>
        </w:tc>
      </w:tr>
    </w:tbl>
    <w:p>
      <w:pPr>
        <w:spacing w:line="240" w:lineRule="auto"/>
        <w:ind w:firstLine="0" w:firstLineChars="0"/>
        <w:jc w:val="center"/>
        <w:rPr>
          <w:rFonts w:cs="Times New Roman"/>
          <w:b/>
          <w:bCs/>
          <w:color w:val="auto"/>
          <w:sz w:val="21"/>
          <w:szCs w:val="21"/>
        </w:rPr>
      </w:pPr>
      <w:r>
        <w:rPr>
          <w:rFonts w:cs="Times New Roman"/>
          <w:b/>
          <w:bCs/>
          <w:color w:val="auto"/>
          <w:sz w:val="21"/>
          <w:szCs w:val="21"/>
        </w:rPr>
        <w:t>表</w:t>
      </w:r>
      <w:r>
        <w:rPr>
          <w:rFonts w:hint="eastAsia" w:cs="Times New Roman"/>
          <w:b/>
          <w:bCs/>
          <w:color w:val="auto"/>
          <w:sz w:val="21"/>
          <w:szCs w:val="21"/>
        </w:rPr>
        <w:t>8.3-2  废气检测质控结果表</w:t>
      </w:r>
    </w:p>
    <w:tbl>
      <w:tblPr>
        <w:tblStyle w:val="24"/>
        <w:tblW w:w="872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30" w:type="dxa"/>
          <w:bottom w:w="0" w:type="dxa"/>
          <w:right w:w="30" w:type="dxa"/>
        </w:tblCellMar>
      </w:tblPr>
      <w:tblGrid>
        <w:gridCol w:w="1006"/>
        <w:gridCol w:w="1110"/>
        <w:gridCol w:w="1225"/>
        <w:gridCol w:w="908"/>
        <w:gridCol w:w="612"/>
        <w:gridCol w:w="442"/>
        <w:gridCol w:w="564"/>
        <w:gridCol w:w="635"/>
        <w:gridCol w:w="550"/>
        <w:gridCol w:w="449"/>
        <w:gridCol w:w="731"/>
        <w:gridCol w:w="4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30" w:type="dxa"/>
            <w:bottom w:w="0" w:type="dxa"/>
            <w:right w:w="30" w:type="dxa"/>
          </w:tblCellMar>
        </w:tblPrEx>
        <w:trPr>
          <w:cantSplit/>
          <w:trHeight w:val="90" w:hRule="atLeast"/>
          <w:jc w:val="center"/>
        </w:trPr>
        <w:tc>
          <w:tcPr>
            <w:tcW w:w="1006" w:type="dxa"/>
            <w:vMerge w:val="restart"/>
            <w:vAlign w:val="center"/>
          </w:tcPr>
          <w:p>
            <w:pPr>
              <w:autoSpaceDE w:val="0"/>
              <w:autoSpaceDN w:val="0"/>
              <w:adjustRightInd w:val="0"/>
              <w:spacing w:before="31" w:beforeLines="10" w:after="31" w:afterLines="10" w:line="288" w:lineRule="auto"/>
              <w:ind w:firstLineChars="0"/>
              <w:rPr>
                <w:rFonts w:cs="Times New Roman"/>
                <w:b/>
                <w:bCs/>
                <w:color w:val="auto"/>
                <w:sz w:val="21"/>
                <w:szCs w:val="21"/>
              </w:rPr>
            </w:pPr>
            <w:r>
              <w:rPr>
                <w:rFonts w:ascii="宋体" w:hAnsi="宋体" w:cs="Times New Roman"/>
                <w:b/>
                <w:bCs/>
                <w:color w:val="auto"/>
                <w:sz w:val="21"/>
                <w:szCs w:val="21"/>
              </w:rPr>
              <w:t>日期</w:t>
            </w:r>
          </w:p>
        </w:tc>
        <w:tc>
          <w:tcPr>
            <w:tcW w:w="1110" w:type="dxa"/>
            <w:vMerge w:val="restart"/>
            <w:vAlign w:val="center"/>
          </w:tcPr>
          <w:p>
            <w:pPr>
              <w:autoSpaceDE w:val="0"/>
              <w:autoSpaceDN w:val="0"/>
              <w:adjustRightInd w:val="0"/>
              <w:spacing w:before="31" w:beforeLines="10" w:after="31" w:afterLines="10" w:line="288" w:lineRule="auto"/>
              <w:ind w:firstLine="0" w:firstLineChars="0"/>
              <w:jc w:val="center"/>
              <w:rPr>
                <w:rFonts w:cs="Times New Roman"/>
                <w:b/>
                <w:bCs/>
                <w:color w:val="auto"/>
                <w:sz w:val="21"/>
                <w:szCs w:val="21"/>
              </w:rPr>
            </w:pPr>
            <w:r>
              <w:rPr>
                <w:rFonts w:ascii="宋体" w:hAnsi="宋体" w:cs="Times New Roman"/>
                <w:b/>
                <w:bCs/>
                <w:color w:val="auto"/>
                <w:sz w:val="21"/>
                <w:szCs w:val="21"/>
              </w:rPr>
              <w:t>仪器型号</w:t>
            </w:r>
          </w:p>
        </w:tc>
        <w:tc>
          <w:tcPr>
            <w:tcW w:w="1225" w:type="dxa"/>
            <w:vMerge w:val="restart"/>
            <w:vAlign w:val="center"/>
          </w:tcPr>
          <w:p>
            <w:pPr>
              <w:autoSpaceDE w:val="0"/>
              <w:autoSpaceDN w:val="0"/>
              <w:adjustRightInd w:val="0"/>
              <w:spacing w:before="31" w:beforeLines="10" w:after="31" w:afterLines="10" w:line="288" w:lineRule="auto"/>
              <w:ind w:firstLine="0" w:firstLineChars="0"/>
              <w:jc w:val="center"/>
              <w:rPr>
                <w:rFonts w:cs="Times New Roman"/>
                <w:b/>
                <w:bCs/>
                <w:color w:val="auto"/>
                <w:sz w:val="21"/>
                <w:szCs w:val="21"/>
              </w:rPr>
            </w:pPr>
            <w:r>
              <w:rPr>
                <w:rFonts w:ascii="宋体" w:hAnsi="宋体" w:cs="Times New Roman"/>
                <w:b/>
                <w:bCs/>
                <w:color w:val="auto"/>
                <w:sz w:val="21"/>
                <w:szCs w:val="21"/>
              </w:rPr>
              <w:t>仪器编号</w:t>
            </w:r>
          </w:p>
        </w:tc>
        <w:tc>
          <w:tcPr>
            <w:tcW w:w="908" w:type="dxa"/>
            <w:vMerge w:val="restart"/>
            <w:vAlign w:val="center"/>
          </w:tcPr>
          <w:p>
            <w:pPr>
              <w:autoSpaceDE w:val="0"/>
              <w:autoSpaceDN w:val="0"/>
              <w:adjustRightInd w:val="0"/>
              <w:spacing w:before="31" w:beforeLines="10" w:after="31" w:afterLines="10" w:line="288" w:lineRule="auto"/>
              <w:ind w:firstLine="0" w:firstLineChars="0"/>
              <w:jc w:val="center"/>
              <w:rPr>
                <w:rFonts w:cs="Times New Roman"/>
                <w:b/>
                <w:bCs/>
                <w:color w:val="auto"/>
                <w:sz w:val="21"/>
                <w:szCs w:val="21"/>
              </w:rPr>
            </w:pPr>
            <w:r>
              <w:rPr>
                <w:rFonts w:ascii="宋体" w:hAnsi="宋体" w:cs="Times New Roman"/>
                <w:b/>
                <w:bCs/>
                <w:color w:val="auto"/>
                <w:sz w:val="21"/>
                <w:szCs w:val="21"/>
              </w:rPr>
              <w:t>项目</w:t>
            </w:r>
          </w:p>
        </w:tc>
        <w:tc>
          <w:tcPr>
            <w:tcW w:w="612" w:type="dxa"/>
            <w:vMerge w:val="restart"/>
            <w:vAlign w:val="center"/>
          </w:tcPr>
          <w:p>
            <w:pPr>
              <w:autoSpaceDE w:val="0"/>
              <w:autoSpaceDN w:val="0"/>
              <w:adjustRightInd w:val="0"/>
              <w:spacing w:before="31" w:beforeLines="10" w:after="31" w:afterLines="10" w:line="288" w:lineRule="auto"/>
              <w:ind w:firstLine="0" w:firstLineChars="0"/>
              <w:jc w:val="center"/>
              <w:rPr>
                <w:rFonts w:cs="Times New Roman"/>
                <w:b/>
                <w:bCs/>
                <w:color w:val="auto"/>
                <w:sz w:val="21"/>
                <w:szCs w:val="21"/>
              </w:rPr>
            </w:pPr>
            <w:r>
              <w:rPr>
                <w:rFonts w:ascii="宋体" w:hAnsi="宋体" w:cs="Times New Roman"/>
                <w:b/>
                <w:bCs/>
                <w:color w:val="auto"/>
                <w:sz w:val="21"/>
                <w:szCs w:val="21"/>
              </w:rPr>
              <w:t>通道</w:t>
            </w:r>
          </w:p>
        </w:tc>
        <w:tc>
          <w:tcPr>
            <w:tcW w:w="442" w:type="dxa"/>
            <w:vMerge w:val="restart"/>
            <w:vAlign w:val="center"/>
          </w:tcPr>
          <w:p>
            <w:pPr>
              <w:autoSpaceDE w:val="0"/>
              <w:autoSpaceDN w:val="0"/>
              <w:adjustRightInd w:val="0"/>
              <w:spacing w:before="31" w:beforeLines="10" w:after="31" w:afterLines="10" w:line="288" w:lineRule="auto"/>
              <w:ind w:firstLine="0" w:firstLineChars="0"/>
              <w:jc w:val="center"/>
              <w:rPr>
                <w:rFonts w:cs="Times New Roman"/>
                <w:b/>
                <w:bCs/>
                <w:color w:val="auto"/>
                <w:sz w:val="21"/>
                <w:szCs w:val="21"/>
              </w:rPr>
            </w:pPr>
            <w:r>
              <w:rPr>
                <w:rFonts w:ascii="宋体" w:hAnsi="宋体" w:cs="Times New Roman"/>
                <w:b/>
                <w:bCs/>
                <w:color w:val="auto"/>
                <w:sz w:val="21"/>
                <w:szCs w:val="21"/>
              </w:rPr>
              <w:t>设定值</w:t>
            </w:r>
          </w:p>
        </w:tc>
        <w:tc>
          <w:tcPr>
            <w:tcW w:w="1749" w:type="dxa"/>
            <w:gridSpan w:val="3"/>
            <w:vAlign w:val="center"/>
          </w:tcPr>
          <w:p>
            <w:pPr>
              <w:autoSpaceDE w:val="0"/>
              <w:autoSpaceDN w:val="0"/>
              <w:adjustRightInd w:val="0"/>
              <w:spacing w:before="31" w:beforeLines="10" w:after="31" w:afterLines="10" w:line="240" w:lineRule="auto"/>
              <w:ind w:firstLine="0" w:firstLineChars="0"/>
              <w:jc w:val="center"/>
              <w:rPr>
                <w:rFonts w:cs="Times New Roman"/>
                <w:b/>
                <w:bCs/>
                <w:color w:val="auto"/>
                <w:sz w:val="21"/>
                <w:szCs w:val="21"/>
              </w:rPr>
            </w:pPr>
            <w:r>
              <w:rPr>
                <w:rFonts w:ascii="宋体" w:hAnsi="宋体" w:cs="Times New Roman"/>
                <w:b/>
                <w:bCs/>
                <w:color w:val="auto"/>
                <w:sz w:val="21"/>
                <w:szCs w:val="21"/>
              </w:rPr>
              <w:t>检测前</w:t>
            </w:r>
          </w:p>
        </w:tc>
        <w:tc>
          <w:tcPr>
            <w:tcW w:w="1674" w:type="dxa"/>
            <w:gridSpan w:val="3"/>
            <w:vAlign w:val="center"/>
          </w:tcPr>
          <w:p>
            <w:pPr>
              <w:autoSpaceDE w:val="0"/>
              <w:autoSpaceDN w:val="0"/>
              <w:adjustRightInd w:val="0"/>
              <w:spacing w:before="31" w:beforeLines="10" w:after="31" w:afterLines="10" w:line="240" w:lineRule="auto"/>
              <w:ind w:firstLine="0" w:firstLineChars="0"/>
              <w:jc w:val="center"/>
              <w:rPr>
                <w:rFonts w:cs="Times New Roman"/>
                <w:b/>
                <w:bCs/>
                <w:color w:val="auto"/>
                <w:sz w:val="21"/>
                <w:szCs w:val="21"/>
              </w:rPr>
            </w:pPr>
            <w:r>
              <w:rPr>
                <w:rFonts w:ascii="宋体" w:hAnsi="宋体" w:cs="Times New Roman"/>
                <w:b/>
                <w:bCs/>
                <w:color w:val="auto"/>
                <w:sz w:val="21"/>
                <w:szCs w:val="21"/>
              </w:rPr>
              <w:t>检测后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30" w:type="dxa"/>
            <w:bottom w:w="0" w:type="dxa"/>
            <w:right w:w="30" w:type="dxa"/>
          </w:tblCellMar>
        </w:tblPrEx>
        <w:trPr>
          <w:cantSplit/>
          <w:trHeight w:val="552" w:hRule="atLeast"/>
          <w:jc w:val="center"/>
        </w:trPr>
        <w:tc>
          <w:tcPr>
            <w:tcW w:w="1006" w:type="dxa"/>
            <w:vMerge w:val="continue"/>
            <w:vAlign w:val="center"/>
          </w:tcPr>
          <w:p>
            <w:pPr>
              <w:widowControl/>
              <w:spacing w:line="240" w:lineRule="auto"/>
              <w:ind w:firstLine="0" w:firstLineChars="0"/>
              <w:jc w:val="left"/>
              <w:rPr>
                <w:rFonts w:cs="Times New Roman"/>
                <w:b/>
                <w:bCs/>
                <w:color w:val="auto"/>
                <w:sz w:val="21"/>
                <w:szCs w:val="21"/>
              </w:rPr>
            </w:pPr>
          </w:p>
        </w:tc>
        <w:tc>
          <w:tcPr>
            <w:tcW w:w="1110" w:type="dxa"/>
            <w:vMerge w:val="continue"/>
            <w:vAlign w:val="center"/>
          </w:tcPr>
          <w:p>
            <w:pPr>
              <w:widowControl/>
              <w:spacing w:line="240" w:lineRule="auto"/>
              <w:ind w:firstLine="0" w:firstLineChars="0"/>
              <w:jc w:val="left"/>
              <w:rPr>
                <w:rFonts w:cs="Times New Roman"/>
                <w:b/>
                <w:bCs/>
                <w:color w:val="auto"/>
                <w:sz w:val="21"/>
                <w:szCs w:val="21"/>
              </w:rPr>
            </w:pPr>
          </w:p>
        </w:tc>
        <w:tc>
          <w:tcPr>
            <w:tcW w:w="1225" w:type="dxa"/>
            <w:vMerge w:val="continue"/>
            <w:vAlign w:val="center"/>
          </w:tcPr>
          <w:p>
            <w:pPr>
              <w:widowControl/>
              <w:spacing w:line="240" w:lineRule="auto"/>
              <w:ind w:firstLine="0" w:firstLineChars="0"/>
              <w:jc w:val="left"/>
              <w:rPr>
                <w:rFonts w:cs="Times New Roman"/>
                <w:b/>
                <w:bCs/>
                <w:color w:val="auto"/>
                <w:sz w:val="21"/>
                <w:szCs w:val="21"/>
              </w:rPr>
            </w:pPr>
          </w:p>
        </w:tc>
        <w:tc>
          <w:tcPr>
            <w:tcW w:w="908" w:type="dxa"/>
            <w:vMerge w:val="continue"/>
            <w:vAlign w:val="center"/>
          </w:tcPr>
          <w:p>
            <w:pPr>
              <w:widowControl/>
              <w:spacing w:line="240" w:lineRule="auto"/>
              <w:ind w:firstLine="0" w:firstLineChars="0"/>
              <w:jc w:val="left"/>
              <w:rPr>
                <w:rFonts w:cs="Times New Roman"/>
                <w:b/>
                <w:bCs/>
                <w:color w:val="auto"/>
                <w:sz w:val="21"/>
                <w:szCs w:val="21"/>
              </w:rPr>
            </w:pPr>
          </w:p>
        </w:tc>
        <w:tc>
          <w:tcPr>
            <w:tcW w:w="612" w:type="dxa"/>
            <w:vMerge w:val="continue"/>
            <w:vAlign w:val="center"/>
          </w:tcPr>
          <w:p>
            <w:pPr>
              <w:widowControl/>
              <w:spacing w:line="240" w:lineRule="auto"/>
              <w:ind w:firstLine="0" w:firstLineChars="0"/>
              <w:jc w:val="left"/>
              <w:rPr>
                <w:rFonts w:cs="Times New Roman"/>
                <w:b/>
                <w:bCs/>
                <w:color w:val="auto"/>
                <w:sz w:val="21"/>
                <w:szCs w:val="21"/>
              </w:rPr>
            </w:pPr>
          </w:p>
        </w:tc>
        <w:tc>
          <w:tcPr>
            <w:tcW w:w="442" w:type="dxa"/>
            <w:vMerge w:val="continue"/>
            <w:vAlign w:val="center"/>
          </w:tcPr>
          <w:p>
            <w:pPr>
              <w:widowControl/>
              <w:spacing w:line="240" w:lineRule="auto"/>
              <w:ind w:firstLine="0" w:firstLineChars="0"/>
              <w:jc w:val="left"/>
              <w:rPr>
                <w:rFonts w:cs="Times New Roman"/>
                <w:b/>
                <w:bCs/>
                <w:color w:val="auto"/>
                <w:sz w:val="21"/>
                <w:szCs w:val="21"/>
              </w:rPr>
            </w:pPr>
          </w:p>
        </w:tc>
        <w:tc>
          <w:tcPr>
            <w:tcW w:w="564" w:type="dxa"/>
            <w:vAlign w:val="center"/>
          </w:tcPr>
          <w:p>
            <w:pPr>
              <w:autoSpaceDE w:val="0"/>
              <w:autoSpaceDN w:val="0"/>
              <w:adjustRightInd w:val="0"/>
              <w:spacing w:before="31" w:beforeLines="10" w:after="31" w:afterLines="10" w:line="240" w:lineRule="auto"/>
              <w:ind w:firstLine="0" w:firstLineChars="0"/>
              <w:jc w:val="center"/>
              <w:rPr>
                <w:rFonts w:cs="Times New Roman"/>
                <w:b/>
                <w:bCs/>
                <w:color w:val="auto"/>
                <w:sz w:val="21"/>
                <w:szCs w:val="21"/>
              </w:rPr>
            </w:pPr>
            <w:r>
              <w:rPr>
                <w:rFonts w:ascii="宋体" w:hAnsi="宋体" w:cs="Times New Roman"/>
                <w:b/>
                <w:bCs/>
                <w:color w:val="auto"/>
                <w:sz w:val="21"/>
                <w:szCs w:val="21"/>
              </w:rPr>
              <w:t>测定值</w:t>
            </w:r>
          </w:p>
        </w:tc>
        <w:tc>
          <w:tcPr>
            <w:tcW w:w="635" w:type="dxa"/>
            <w:vAlign w:val="center"/>
          </w:tcPr>
          <w:p>
            <w:pPr>
              <w:autoSpaceDE w:val="0"/>
              <w:autoSpaceDN w:val="0"/>
              <w:adjustRightInd w:val="0"/>
              <w:spacing w:before="31" w:beforeLines="10" w:after="31" w:afterLines="10" w:line="240" w:lineRule="auto"/>
              <w:ind w:firstLine="0" w:firstLineChars="0"/>
              <w:jc w:val="center"/>
              <w:rPr>
                <w:rFonts w:cs="Times New Roman"/>
                <w:b/>
                <w:bCs/>
                <w:color w:val="auto"/>
                <w:sz w:val="21"/>
                <w:szCs w:val="21"/>
              </w:rPr>
            </w:pPr>
            <w:r>
              <w:rPr>
                <w:rFonts w:ascii="宋体" w:hAnsi="宋体" w:cs="Times New Roman"/>
                <w:b/>
                <w:bCs/>
                <w:color w:val="auto"/>
                <w:sz w:val="21"/>
                <w:szCs w:val="21"/>
              </w:rPr>
              <w:t>相对</w:t>
            </w:r>
          </w:p>
          <w:p>
            <w:pPr>
              <w:autoSpaceDE w:val="0"/>
              <w:autoSpaceDN w:val="0"/>
              <w:adjustRightInd w:val="0"/>
              <w:spacing w:before="31" w:beforeLines="10" w:after="31" w:afterLines="10" w:line="240" w:lineRule="auto"/>
              <w:ind w:firstLine="0" w:firstLineChars="0"/>
              <w:jc w:val="center"/>
              <w:rPr>
                <w:rFonts w:cs="Times New Roman"/>
                <w:b/>
                <w:bCs/>
                <w:color w:val="auto"/>
                <w:sz w:val="21"/>
                <w:szCs w:val="21"/>
              </w:rPr>
            </w:pPr>
            <w:r>
              <w:rPr>
                <w:rFonts w:ascii="宋体" w:hAnsi="宋体" w:cs="Times New Roman"/>
                <w:b/>
                <w:bCs/>
                <w:color w:val="auto"/>
                <w:sz w:val="21"/>
                <w:szCs w:val="21"/>
              </w:rPr>
              <w:t>误差</w:t>
            </w:r>
            <w:r>
              <w:rPr>
                <w:rFonts w:cs="Times New Roman"/>
                <w:b/>
                <w:bCs/>
                <w:color w:val="auto"/>
                <w:sz w:val="21"/>
                <w:szCs w:val="21"/>
              </w:rPr>
              <w:t>(±5%)</w:t>
            </w:r>
          </w:p>
        </w:tc>
        <w:tc>
          <w:tcPr>
            <w:tcW w:w="550" w:type="dxa"/>
            <w:vAlign w:val="center"/>
          </w:tcPr>
          <w:p>
            <w:pPr>
              <w:autoSpaceDE w:val="0"/>
              <w:autoSpaceDN w:val="0"/>
              <w:adjustRightInd w:val="0"/>
              <w:spacing w:before="31" w:beforeLines="10" w:after="31" w:afterLines="10" w:line="240" w:lineRule="auto"/>
              <w:ind w:firstLine="0" w:firstLineChars="0"/>
              <w:jc w:val="center"/>
              <w:rPr>
                <w:rFonts w:cs="Times New Roman"/>
                <w:b/>
                <w:bCs/>
                <w:color w:val="auto"/>
                <w:sz w:val="21"/>
                <w:szCs w:val="21"/>
              </w:rPr>
            </w:pPr>
            <w:r>
              <w:rPr>
                <w:rFonts w:ascii="宋体" w:hAnsi="宋体" w:cs="Times New Roman"/>
                <w:b/>
                <w:bCs/>
                <w:color w:val="auto"/>
                <w:sz w:val="21"/>
                <w:szCs w:val="21"/>
              </w:rPr>
              <w:t>是否合格</w:t>
            </w:r>
          </w:p>
        </w:tc>
        <w:tc>
          <w:tcPr>
            <w:tcW w:w="449" w:type="dxa"/>
            <w:vAlign w:val="center"/>
          </w:tcPr>
          <w:p>
            <w:pPr>
              <w:autoSpaceDE w:val="0"/>
              <w:autoSpaceDN w:val="0"/>
              <w:adjustRightInd w:val="0"/>
              <w:spacing w:before="31" w:beforeLines="10" w:after="31" w:afterLines="10" w:line="240" w:lineRule="auto"/>
              <w:ind w:firstLine="0" w:firstLineChars="0"/>
              <w:jc w:val="center"/>
              <w:rPr>
                <w:rFonts w:cs="Times New Roman"/>
                <w:b/>
                <w:bCs/>
                <w:color w:val="auto"/>
                <w:sz w:val="21"/>
                <w:szCs w:val="21"/>
              </w:rPr>
            </w:pPr>
            <w:r>
              <w:rPr>
                <w:rFonts w:ascii="宋体" w:hAnsi="宋体" w:cs="Times New Roman"/>
                <w:b/>
                <w:bCs/>
                <w:color w:val="auto"/>
                <w:sz w:val="21"/>
                <w:szCs w:val="21"/>
              </w:rPr>
              <w:t>测定值</w:t>
            </w:r>
          </w:p>
        </w:tc>
        <w:tc>
          <w:tcPr>
            <w:tcW w:w="731" w:type="dxa"/>
            <w:vAlign w:val="center"/>
          </w:tcPr>
          <w:p>
            <w:pPr>
              <w:autoSpaceDE w:val="0"/>
              <w:autoSpaceDN w:val="0"/>
              <w:adjustRightInd w:val="0"/>
              <w:spacing w:before="31" w:beforeLines="10" w:after="31" w:afterLines="10" w:line="240" w:lineRule="auto"/>
              <w:ind w:firstLine="0" w:firstLineChars="0"/>
              <w:jc w:val="center"/>
              <w:rPr>
                <w:rFonts w:cs="Times New Roman"/>
                <w:b/>
                <w:bCs/>
                <w:color w:val="auto"/>
                <w:sz w:val="21"/>
                <w:szCs w:val="21"/>
              </w:rPr>
            </w:pPr>
            <w:r>
              <w:rPr>
                <w:rFonts w:ascii="宋体" w:hAnsi="宋体" w:cs="Times New Roman"/>
                <w:b/>
                <w:bCs/>
                <w:color w:val="auto"/>
                <w:sz w:val="21"/>
                <w:szCs w:val="21"/>
              </w:rPr>
              <w:t>相对</w:t>
            </w:r>
          </w:p>
          <w:p>
            <w:pPr>
              <w:autoSpaceDE w:val="0"/>
              <w:autoSpaceDN w:val="0"/>
              <w:adjustRightInd w:val="0"/>
              <w:spacing w:before="31" w:beforeLines="10" w:after="31" w:afterLines="10" w:line="240" w:lineRule="auto"/>
              <w:ind w:firstLine="0" w:firstLineChars="0"/>
              <w:jc w:val="center"/>
              <w:rPr>
                <w:rFonts w:cs="Times New Roman"/>
                <w:b/>
                <w:bCs/>
                <w:color w:val="auto"/>
                <w:sz w:val="21"/>
                <w:szCs w:val="21"/>
              </w:rPr>
            </w:pPr>
            <w:r>
              <w:rPr>
                <w:rFonts w:ascii="宋体" w:hAnsi="宋体" w:cs="Times New Roman"/>
                <w:b/>
                <w:bCs/>
                <w:color w:val="auto"/>
                <w:sz w:val="21"/>
                <w:szCs w:val="21"/>
              </w:rPr>
              <w:t>误差</w:t>
            </w:r>
            <w:r>
              <w:rPr>
                <w:rFonts w:cs="Times New Roman"/>
                <w:b/>
                <w:bCs/>
                <w:color w:val="auto"/>
                <w:sz w:val="21"/>
                <w:szCs w:val="21"/>
              </w:rPr>
              <w:t>(±5%)</w:t>
            </w:r>
          </w:p>
        </w:tc>
        <w:tc>
          <w:tcPr>
            <w:tcW w:w="494" w:type="dxa"/>
            <w:vAlign w:val="center"/>
          </w:tcPr>
          <w:p>
            <w:pPr>
              <w:autoSpaceDE w:val="0"/>
              <w:autoSpaceDN w:val="0"/>
              <w:adjustRightInd w:val="0"/>
              <w:spacing w:before="31" w:beforeLines="10" w:after="31" w:afterLines="10" w:line="240" w:lineRule="auto"/>
              <w:ind w:firstLine="0" w:firstLineChars="0"/>
              <w:jc w:val="center"/>
              <w:rPr>
                <w:rFonts w:cs="Times New Roman"/>
                <w:b/>
                <w:bCs/>
                <w:color w:val="auto"/>
                <w:sz w:val="21"/>
                <w:szCs w:val="21"/>
              </w:rPr>
            </w:pPr>
            <w:r>
              <w:rPr>
                <w:rFonts w:ascii="宋体" w:hAnsi="宋体" w:cs="Times New Roman"/>
                <w:b/>
                <w:bCs/>
                <w:color w:val="auto"/>
                <w:sz w:val="21"/>
                <w:szCs w:val="21"/>
              </w:rPr>
              <w:t>是否合格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30" w:type="dxa"/>
            <w:bottom w:w="0" w:type="dxa"/>
            <w:right w:w="30" w:type="dxa"/>
          </w:tblCellMar>
        </w:tblPrEx>
        <w:trPr>
          <w:trHeight w:val="270" w:hRule="atLeast"/>
          <w:jc w:val="center"/>
        </w:trPr>
        <w:tc>
          <w:tcPr>
            <w:tcW w:w="1006" w:type="dxa"/>
            <w:vMerge w:val="restart"/>
            <w:vAlign w:val="center"/>
          </w:tcPr>
          <w:p>
            <w:pPr>
              <w:widowControl/>
              <w:spacing w:line="240" w:lineRule="auto"/>
              <w:ind w:firstLine="0" w:firstLineChars="0"/>
              <w:jc w:val="center"/>
              <w:rPr>
                <w:rFonts w:cs="Times New Roman"/>
                <w:color w:val="auto"/>
                <w:sz w:val="21"/>
                <w:szCs w:val="21"/>
              </w:rPr>
            </w:pPr>
            <w:r>
              <w:rPr>
                <w:rFonts w:cs="Times New Roman"/>
                <w:color w:val="auto"/>
                <w:sz w:val="21"/>
                <w:szCs w:val="21"/>
              </w:rPr>
              <w:t>2025.12.10</w:t>
            </w:r>
          </w:p>
        </w:tc>
        <w:tc>
          <w:tcPr>
            <w:tcW w:w="1110" w:type="dxa"/>
            <w:vMerge w:val="restart"/>
            <w:vAlign w:val="center"/>
          </w:tcPr>
          <w:p>
            <w:pPr>
              <w:spacing w:line="240" w:lineRule="auto"/>
              <w:ind w:firstLine="0" w:firstLineChars="0"/>
              <w:jc w:val="center"/>
              <w:rPr>
                <w:rFonts w:cs="Times New Roman"/>
                <w:color w:val="auto"/>
                <w:sz w:val="21"/>
                <w:szCs w:val="21"/>
              </w:rPr>
            </w:pPr>
            <w:r>
              <w:rPr>
                <w:rFonts w:cs="Times New Roman"/>
                <w:color w:val="auto"/>
                <w:sz w:val="21"/>
                <w:szCs w:val="21"/>
              </w:rPr>
              <w:t>YLB-2700C</w:t>
            </w:r>
          </w:p>
        </w:tc>
        <w:tc>
          <w:tcPr>
            <w:tcW w:w="1225" w:type="dxa"/>
            <w:vMerge w:val="restart"/>
            <w:vAlign w:val="center"/>
          </w:tcPr>
          <w:p>
            <w:pPr>
              <w:spacing w:line="240" w:lineRule="auto"/>
              <w:ind w:firstLine="0" w:firstLineChars="0"/>
              <w:jc w:val="center"/>
              <w:rPr>
                <w:rFonts w:cs="Times New Roman"/>
                <w:color w:val="auto"/>
                <w:sz w:val="21"/>
                <w:szCs w:val="21"/>
              </w:rPr>
            </w:pPr>
            <w:r>
              <w:rPr>
                <w:rFonts w:cs="Times New Roman"/>
                <w:color w:val="auto"/>
                <w:sz w:val="21"/>
                <w:szCs w:val="21"/>
              </w:rPr>
              <w:t>MMGR-XC-004-03</w:t>
            </w:r>
          </w:p>
        </w:tc>
        <w:tc>
          <w:tcPr>
            <w:tcW w:w="908" w:type="dxa"/>
            <w:vMerge w:val="restart"/>
            <w:vAlign w:val="center"/>
          </w:tcPr>
          <w:p>
            <w:pPr>
              <w:autoSpaceDE w:val="0"/>
              <w:autoSpaceDN w:val="0"/>
              <w:adjustRightInd w:val="0"/>
              <w:spacing w:before="31" w:beforeLines="10" w:after="31" w:afterLines="10" w:line="288" w:lineRule="auto"/>
              <w:ind w:firstLine="0" w:firstLineChars="0"/>
              <w:jc w:val="center"/>
              <w:rPr>
                <w:rFonts w:cs="Times New Roman"/>
                <w:color w:val="auto"/>
                <w:sz w:val="21"/>
                <w:szCs w:val="21"/>
              </w:rPr>
            </w:pPr>
            <w:r>
              <w:rPr>
                <w:rFonts w:ascii="宋体" w:hAnsi="宋体" w:cs="Times New Roman"/>
                <w:color w:val="auto"/>
                <w:sz w:val="21"/>
                <w:szCs w:val="21"/>
              </w:rPr>
              <w:t>流量校准（</w:t>
            </w:r>
            <w:r>
              <w:rPr>
                <w:rFonts w:cs="Times New Roman"/>
                <w:color w:val="auto"/>
                <w:sz w:val="21"/>
                <w:szCs w:val="21"/>
              </w:rPr>
              <w:t>L/min)</w:t>
            </w:r>
          </w:p>
        </w:tc>
        <w:tc>
          <w:tcPr>
            <w:tcW w:w="612"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ascii="宋体" w:hAnsi="宋体" w:cs="Times New Roman"/>
                <w:color w:val="auto"/>
                <w:sz w:val="21"/>
                <w:szCs w:val="21"/>
              </w:rPr>
              <w:t>主</w:t>
            </w:r>
          </w:p>
        </w:tc>
        <w:tc>
          <w:tcPr>
            <w:tcW w:w="442"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cs="Times New Roman"/>
                <w:color w:val="auto"/>
                <w:sz w:val="21"/>
                <w:szCs w:val="21"/>
              </w:rPr>
              <w:t>100</w:t>
            </w:r>
          </w:p>
        </w:tc>
        <w:tc>
          <w:tcPr>
            <w:tcW w:w="564"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99.6</w:t>
            </w:r>
          </w:p>
        </w:tc>
        <w:tc>
          <w:tcPr>
            <w:tcW w:w="635"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-0.4</w:t>
            </w:r>
          </w:p>
        </w:tc>
        <w:tc>
          <w:tcPr>
            <w:tcW w:w="550"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ascii="宋体" w:hAnsi="宋体" w:cs="Times New Roman"/>
                <w:color w:val="auto"/>
                <w:sz w:val="21"/>
                <w:szCs w:val="21"/>
              </w:rPr>
              <w:t>合格</w:t>
            </w:r>
          </w:p>
        </w:tc>
        <w:tc>
          <w:tcPr>
            <w:tcW w:w="449"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99.4</w:t>
            </w:r>
          </w:p>
        </w:tc>
        <w:tc>
          <w:tcPr>
            <w:tcW w:w="731"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-0.6</w:t>
            </w:r>
          </w:p>
        </w:tc>
        <w:tc>
          <w:tcPr>
            <w:tcW w:w="494"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ascii="宋体" w:hAnsi="宋体" w:cs="Times New Roman"/>
                <w:color w:val="auto"/>
                <w:sz w:val="21"/>
                <w:szCs w:val="21"/>
              </w:rPr>
              <w:t>合格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30" w:type="dxa"/>
            <w:bottom w:w="0" w:type="dxa"/>
            <w:right w:w="30" w:type="dxa"/>
          </w:tblCellMar>
        </w:tblPrEx>
        <w:trPr>
          <w:trHeight w:val="270" w:hRule="atLeast"/>
          <w:jc w:val="center"/>
        </w:trPr>
        <w:tc>
          <w:tcPr>
            <w:tcW w:w="1006" w:type="dxa"/>
            <w:vMerge w:val="continue"/>
            <w:vAlign w:val="center"/>
          </w:tcPr>
          <w:p>
            <w:pPr>
              <w:widowControl/>
              <w:spacing w:line="240" w:lineRule="auto"/>
              <w:ind w:firstLine="0" w:firstLineChars="0"/>
              <w:jc w:val="left"/>
              <w:rPr>
                <w:rFonts w:cs="Times New Roman"/>
                <w:color w:val="auto"/>
                <w:sz w:val="21"/>
                <w:szCs w:val="21"/>
              </w:rPr>
            </w:pPr>
          </w:p>
        </w:tc>
        <w:tc>
          <w:tcPr>
            <w:tcW w:w="1110" w:type="dxa"/>
            <w:vMerge w:val="continue"/>
            <w:vAlign w:val="center"/>
          </w:tcPr>
          <w:p>
            <w:pPr>
              <w:widowControl/>
              <w:spacing w:line="240" w:lineRule="auto"/>
              <w:ind w:firstLine="0" w:firstLineChars="0"/>
              <w:jc w:val="left"/>
              <w:rPr>
                <w:rFonts w:cs="Times New Roman"/>
                <w:color w:val="auto"/>
                <w:sz w:val="21"/>
                <w:szCs w:val="21"/>
              </w:rPr>
            </w:pPr>
          </w:p>
        </w:tc>
        <w:tc>
          <w:tcPr>
            <w:tcW w:w="1225" w:type="dxa"/>
            <w:vMerge w:val="continue"/>
            <w:vAlign w:val="center"/>
          </w:tcPr>
          <w:p>
            <w:pPr>
              <w:widowControl/>
              <w:spacing w:line="240" w:lineRule="auto"/>
              <w:ind w:firstLine="0" w:firstLineChars="0"/>
              <w:jc w:val="left"/>
              <w:rPr>
                <w:rFonts w:cs="Times New Roman"/>
                <w:color w:val="auto"/>
                <w:sz w:val="21"/>
                <w:szCs w:val="21"/>
              </w:rPr>
            </w:pPr>
          </w:p>
        </w:tc>
        <w:tc>
          <w:tcPr>
            <w:tcW w:w="908" w:type="dxa"/>
            <w:vMerge w:val="continue"/>
            <w:vAlign w:val="center"/>
          </w:tcPr>
          <w:p>
            <w:pPr>
              <w:widowControl/>
              <w:spacing w:line="240" w:lineRule="auto"/>
              <w:ind w:firstLine="0" w:firstLineChars="0"/>
              <w:jc w:val="left"/>
              <w:rPr>
                <w:rFonts w:cs="Times New Roman"/>
                <w:color w:val="auto"/>
                <w:sz w:val="21"/>
                <w:szCs w:val="21"/>
              </w:rPr>
            </w:pPr>
          </w:p>
        </w:tc>
        <w:tc>
          <w:tcPr>
            <w:tcW w:w="612"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cs="Times New Roman"/>
                <w:color w:val="auto"/>
                <w:sz w:val="21"/>
                <w:szCs w:val="21"/>
              </w:rPr>
              <w:t>A</w:t>
            </w:r>
          </w:p>
        </w:tc>
        <w:tc>
          <w:tcPr>
            <w:tcW w:w="442"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cs="Times New Roman"/>
                <w:color w:val="auto"/>
                <w:sz w:val="21"/>
                <w:szCs w:val="21"/>
              </w:rPr>
              <w:t>1</w:t>
            </w:r>
          </w:p>
        </w:tc>
        <w:tc>
          <w:tcPr>
            <w:tcW w:w="564"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0.98</w:t>
            </w:r>
          </w:p>
        </w:tc>
        <w:tc>
          <w:tcPr>
            <w:tcW w:w="635"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-2</w:t>
            </w:r>
          </w:p>
        </w:tc>
        <w:tc>
          <w:tcPr>
            <w:tcW w:w="550"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ascii="宋体" w:hAnsi="宋体" w:cs="Times New Roman"/>
                <w:color w:val="auto"/>
                <w:sz w:val="21"/>
                <w:szCs w:val="21"/>
              </w:rPr>
              <w:t>合格</w:t>
            </w:r>
          </w:p>
        </w:tc>
        <w:tc>
          <w:tcPr>
            <w:tcW w:w="449"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0.98</w:t>
            </w:r>
          </w:p>
        </w:tc>
        <w:tc>
          <w:tcPr>
            <w:tcW w:w="731"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-2</w:t>
            </w:r>
          </w:p>
        </w:tc>
        <w:tc>
          <w:tcPr>
            <w:tcW w:w="494"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ascii="宋体" w:hAnsi="宋体" w:cs="Times New Roman"/>
                <w:color w:val="auto"/>
                <w:sz w:val="21"/>
                <w:szCs w:val="21"/>
              </w:rPr>
              <w:t>合格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30" w:type="dxa"/>
            <w:bottom w:w="0" w:type="dxa"/>
            <w:right w:w="30" w:type="dxa"/>
          </w:tblCellMar>
        </w:tblPrEx>
        <w:trPr>
          <w:trHeight w:val="275" w:hRule="atLeast"/>
          <w:jc w:val="center"/>
        </w:trPr>
        <w:tc>
          <w:tcPr>
            <w:tcW w:w="1006" w:type="dxa"/>
            <w:vMerge w:val="continue"/>
            <w:vAlign w:val="center"/>
          </w:tcPr>
          <w:p>
            <w:pPr>
              <w:widowControl/>
              <w:spacing w:line="240" w:lineRule="auto"/>
              <w:ind w:firstLine="0" w:firstLineChars="0"/>
              <w:jc w:val="left"/>
              <w:rPr>
                <w:rFonts w:cs="Times New Roman"/>
                <w:color w:val="auto"/>
                <w:sz w:val="21"/>
                <w:szCs w:val="21"/>
              </w:rPr>
            </w:pPr>
          </w:p>
        </w:tc>
        <w:tc>
          <w:tcPr>
            <w:tcW w:w="1110" w:type="dxa"/>
            <w:vMerge w:val="restart"/>
            <w:vAlign w:val="center"/>
          </w:tcPr>
          <w:p>
            <w:pPr>
              <w:spacing w:line="240" w:lineRule="auto"/>
              <w:ind w:firstLine="0" w:firstLineChars="0"/>
              <w:jc w:val="center"/>
              <w:rPr>
                <w:rFonts w:cs="Times New Roman"/>
                <w:color w:val="auto"/>
                <w:sz w:val="21"/>
                <w:szCs w:val="21"/>
              </w:rPr>
            </w:pPr>
            <w:r>
              <w:rPr>
                <w:rFonts w:cs="Times New Roman"/>
                <w:color w:val="auto"/>
                <w:sz w:val="21"/>
                <w:szCs w:val="21"/>
              </w:rPr>
              <w:t>YLB-2700C</w:t>
            </w:r>
          </w:p>
        </w:tc>
        <w:tc>
          <w:tcPr>
            <w:tcW w:w="1225" w:type="dxa"/>
            <w:vMerge w:val="restart"/>
            <w:vAlign w:val="center"/>
          </w:tcPr>
          <w:p>
            <w:pPr>
              <w:spacing w:line="240" w:lineRule="auto"/>
              <w:ind w:firstLine="0" w:firstLineChars="0"/>
              <w:jc w:val="center"/>
              <w:rPr>
                <w:rFonts w:cs="Times New Roman"/>
                <w:color w:val="auto"/>
                <w:sz w:val="21"/>
                <w:szCs w:val="21"/>
              </w:rPr>
            </w:pPr>
            <w:r>
              <w:rPr>
                <w:rFonts w:cs="Times New Roman"/>
                <w:color w:val="auto"/>
                <w:sz w:val="21"/>
                <w:szCs w:val="21"/>
              </w:rPr>
              <w:t>MMGR-XC-004-04</w:t>
            </w:r>
          </w:p>
        </w:tc>
        <w:tc>
          <w:tcPr>
            <w:tcW w:w="908" w:type="dxa"/>
            <w:vMerge w:val="restart"/>
            <w:vAlign w:val="center"/>
          </w:tcPr>
          <w:p>
            <w:pPr>
              <w:autoSpaceDE w:val="0"/>
              <w:autoSpaceDN w:val="0"/>
              <w:adjustRightInd w:val="0"/>
              <w:spacing w:before="31" w:beforeLines="10" w:after="31" w:afterLines="10" w:line="288" w:lineRule="auto"/>
              <w:ind w:firstLine="0" w:firstLineChars="0"/>
              <w:jc w:val="center"/>
              <w:rPr>
                <w:rFonts w:cs="Times New Roman"/>
                <w:color w:val="auto"/>
                <w:sz w:val="21"/>
                <w:szCs w:val="21"/>
              </w:rPr>
            </w:pPr>
            <w:r>
              <w:rPr>
                <w:rFonts w:ascii="宋体" w:hAnsi="宋体" w:cs="Times New Roman"/>
                <w:color w:val="auto"/>
                <w:sz w:val="21"/>
                <w:szCs w:val="21"/>
              </w:rPr>
              <w:t>流量校准（</w:t>
            </w:r>
            <w:r>
              <w:rPr>
                <w:rFonts w:cs="Times New Roman"/>
                <w:color w:val="auto"/>
                <w:sz w:val="21"/>
                <w:szCs w:val="21"/>
              </w:rPr>
              <w:t>L/min)</w:t>
            </w:r>
          </w:p>
        </w:tc>
        <w:tc>
          <w:tcPr>
            <w:tcW w:w="612"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ascii="宋体" w:hAnsi="宋体" w:cs="Times New Roman"/>
                <w:color w:val="auto"/>
                <w:sz w:val="21"/>
                <w:szCs w:val="21"/>
              </w:rPr>
              <w:t>主</w:t>
            </w:r>
          </w:p>
        </w:tc>
        <w:tc>
          <w:tcPr>
            <w:tcW w:w="442"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cs="Times New Roman"/>
                <w:color w:val="auto"/>
                <w:sz w:val="21"/>
                <w:szCs w:val="21"/>
              </w:rPr>
              <w:t>100</w:t>
            </w:r>
          </w:p>
        </w:tc>
        <w:tc>
          <w:tcPr>
            <w:tcW w:w="564"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100.4</w:t>
            </w:r>
          </w:p>
        </w:tc>
        <w:tc>
          <w:tcPr>
            <w:tcW w:w="635"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0.4</w:t>
            </w:r>
          </w:p>
        </w:tc>
        <w:tc>
          <w:tcPr>
            <w:tcW w:w="550"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ascii="宋体" w:hAnsi="宋体" w:cs="Times New Roman"/>
                <w:color w:val="auto"/>
                <w:sz w:val="21"/>
                <w:szCs w:val="21"/>
              </w:rPr>
              <w:t>合格</w:t>
            </w:r>
          </w:p>
        </w:tc>
        <w:tc>
          <w:tcPr>
            <w:tcW w:w="449"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100.5</w:t>
            </w:r>
          </w:p>
        </w:tc>
        <w:tc>
          <w:tcPr>
            <w:tcW w:w="731"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0.5</w:t>
            </w:r>
          </w:p>
        </w:tc>
        <w:tc>
          <w:tcPr>
            <w:tcW w:w="494"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ascii="宋体" w:hAnsi="宋体" w:cs="Times New Roman"/>
                <w:color w:val="auto"/>
                <w:sz w:val="21"/>
                <w:szCs w:val="21"/>
              </w:rPr>
              <w:t>合格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30" w:type="dxa"/>
            <w:bottom w:w="0" w:type="dxa"/>
            <w:right w:w="30" w:type="dxa"/>
          </w:tblCellMar>
        </w:tblPrEx>
        <w:trPr>
          <w:trHeight w:val="275" w:hRule="atLeast"/>
          <w:jc w:val="center"/>
        </w:trPr>
        <w:tc>
          <w:tcPr>
            <w:tcW w:w="1006" w:type="dxa"/>
            <w:vMerge w:val="continue"/>
            <w:vAlign w:val="center"/>
          </w:tcPr>
          <w:p>
            <w:pPr>
              <w:widowControl/>
              <w:spacing w:line="240" w:lineRule="auto"/>
              <w:ind w:firstLine="0" w:firstLineChars="0"/>
              <w:jc w:val="left"/>
              <w:rPr>
                <w:rFonts w:cs="Times New Roman"/>
                <w:color w:val="auto"/>
                <w:sz w:val="21"/>
                <w:szCs w:val="21"/>
              </w:rPr>
            </w:pPr>
          </w:p>
        </w:tc>
        <w:tc>
          <w:tcPr>
            <w:tcW w:w="1110" w:type="dxa"/>
            <w:vMerge w:val="continue"/>
            <w:vAlign w:val="center"/>
          </w:tcPr>
          <w:p>
            <w:pPr>
              <w:widowControl/>
              <w:spacing w:line="240" w:lineRule="auto"/>
              <w:ind w:firstLine="0" w:firstLineChars="0"/>
              <w:jc w:val="left"/>
              <w:rPr>
                <w:rFonts w:cs="Times New Roman"/>
                <w:color w:val="auto"/>
                <w:sz w:val="21"/>
                <w:szCs w:val="21"/>
              </w:rPr>
            </w:pPr>
          </w:p>
        </w:tc>
        <w:tc>
          <w:tcPr>
            <w:tcW w:w="1225" w:type="dxa"/>
            <w:vMerge w:val="continue"/>
            <w:vAlign w:val="center"/>
          </w:tcPr>
          <w:p>
            <w:pPr>
              <w:widowControl/>
              <w:spacing w:line="240" w:lineRule="auto"/>
              <w:ind w:firstLine="0" w:firstLineChars="0"/>
              <w:jc w:val="left"/>
              <w:rPr>
                <w:rFonts w:cs="Times New Roman"/>
                <w:color w:val="auto"/>
                <w:sz w:val="21"/>
                <w:szCs w:val="21"/>
              </w:rPr>
            </w:pPr>
          </w:p>
        </w:tc>
        <w:tc>
          <w:tcPr>
            <w:tcW w:w="908" w:type="dxa"/>
            <w:vMerge w:val="continue"/>
            <w:vAlign w:val="center"/>
          </w:tcPr>
          <w:p>
            <w:pPr>
              <w:widowControl/>
              <w:spacing w:line="240" w:lineRule="auto"/>
              <w:ind w:firstLine="0" w:firstLineChars="0"/>
              <w:jc w:val="left"/>
              <w:rPr>
                <w:rFonts w:cs="Times New Roman"/>
                <w:color w:val="auto"/>
                <w:sz w:val="21"/>
                <w:szCs w:val="21"/>
              </w:rPr>
            </w:pPr>
          </w:p>
        </w:tc>
        <w:tc>
          <w:tcPr>
            <w:tcW w:w="612"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cs="Times New Roman"/>
                <w:color w:val="auto"/>
                <w:sz w:val="21"/>
                <w:szCs w:val="21"/>
              </w:rPr>
              <w:t>A</w:t>
            </w:r>
          </w:p>
        </w:tc>
        <w:tc>
          <w:tcPr>
            <w:tcW w:w="442"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cs="Times New Roman"/>
                <w:color w:val="auto"/>
                <w:sz w:val="21"/>
                <w:szCs w:val="21"/>
              </w:rPr>
              <w:t>1</w:t>
            </w:r>
          </w:p>
        </w:tc>
        <w:tc>
          <w:tcPr>
            <w:tcW w:w="564"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0.99</w:t>
            </w:r>
          </w:p>
        </w:tc>
        <w:tc>
          <w:tcPr>
            <w:tcW w:w="635"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-1</w:t>
            </w:r>
          </w:p>
        </w:tc>
        <w:tc>
          <w:tcPr>
            <w:tcW w:w="550"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ascii="宋体" w:hAnsi="宋体" w:cs="Times New Roman"/>
                <w:color w:val="auto"/>
                <w:sz w:val="21"/>
                <w:szCs w:val="21"/>
              </w:rPr>
              <w:t>合格</w:t>
            </w:r>
          </w:p>
        </w:tc>
        <w:tc>
          <w:tcPr>
            <w:tcW w:w="449"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0.99</w:t>
            </w:r>
          </w:p>
        </w:tc>
        <w:tc>
          <w:tcPr>
            <w:tcW w:w="731"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-1</w:t>
            </w:r>
          </w:p>
        </w:tc>
        <w:tc>
          <w:tcPr>
            <w:tcW w:w="494"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ascii="宋体" w:hAnsi="宋体" w:cs="Times New Roman"/>
                <w:color w:val="auto"/>
                <w:sz w:val="21"/>
                <w:szCs w:val="21"/>
              </w:rPr>
              <w:t>合格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30" w:type="dxa"/>
            <w:bottom w:w="0" w:type="dxa"/>
            <w:right w:w="30" w:type="dxa"/>
          </w:tblCellMar>
        </w:tblPrEx>
        <w:trPr>
          <w:trHeight w:val="275" w:hRule="atLeast"/>
          <w:jc w:val="center"/>
        </w:trPr>
        <w:tc>
          <w:tcPr>
            <w:tcW w:w="1006" w:type="dxa"/>
            <w:vMerge w:val="continue"/>
            <w:vAlign w:val="center"/>
          </w:tcPr>
          <w:p>
            <w:pPr>
              <w:widowControl/>
              <w:spacing w:line="240" w:lineRule="auto"/>
              <w:ind w:firstLine="0" w:firstLineChars="0"/>
              <w:jc w:val="left"/>
              <w:rPr>
                <w:rFonts w:cs="Times New Roman"/>
                <w:color w:val="auto"/>
                <w:sz w:val="21"/>
                <w:szCs w:val="21"/>
              </w:rPr>
            </w:pPr>
          </w:p>
        </w:tc>
        <w:tc>
          <w:tcPr>
            <w:tcW w:w="1110" w:type="dxa"/>
            <w:vMerge w:val="restart"/>
            <w:vAlign w:val="center"/>
          </w:tcPr>
          <w:p>
            <w:pPr>
              <w:spacing w:line="240" w:lineRule="auto"/>
              <w:ind w:firstLine="0" w:firstLineChars="0"/>
              <w:jc w:val="center"/>
              <w:rPr>
                <w:rFonts w:cs="Times New Roman"/>
                <w:color w:val="auto"/>
                <w:sz w:val="21"/>
                <w:szCs w:val="21"/>
              </w:rPr>
            </w:pPr>
            <w:r>
              <w:rPr>
                <w:rFonts w:cs="Times New Roman"/>
                <w:color w:val="auto"/>
                <w:sz w:val="21"/>
                <w:szCs w:val="21"/>
              </w:rPr>
              <w:t>KB-6120</w:t>
            </w:r>
          </w:p>
        </w:tc>
        <w:tc>
          <w:tcPr>
            <w:tcW w:w="1225" w:type="dxa"/>
            <w:vMerge w:val="restart"/>
            <w:vAlign w:val="center"/>
          </w:tcPr>
          <w:p>
            <w:pPr>
              <w:spacing w:line="240" w:lineRule="auto"/>
              <w:ind w:firstLine="0" w:firstLineChars="0"/>
              <w:jc w:val="center"/>
              <w:rPr>
                <w:rFonts w:cs="Times New Roman"/>
                <w:color w:val="auto"/>
                <w:sz w:val="21"/>
                <w:szCs w:val="21"/>
              </w:rPr>
            </w:pPr>
            <w:r>
              <w:rPr>
                <w:rFonts w:cs="Times New Roman"/>
                <w:color w:val="auto"/>
                <w:sz w:val="21"/>
                <w:szCs w:val="21"/>
              </w:rPr>
              <w:t>MMGR-XC-023-05</w:t>
            </w:r>
          </w:p>
        </w:tc>
        <w:tc>
          <w:tcPr>
            <w:tcW w:w="908" w:type="dxa"/>
            <w:vMerge w:val="restart"/>
            <w:vAlign w:val="center"/>
          </w:tcPr>
          <w:p>
            <w:pPr>
              <w:autoSpaceDE w:val="0"/>
              <w:autoSpaceDN w:val="0"/>
              <w:adjustRightInd w:val="0"/>
              <w:spacing w:before="31" w:beforeLines="10" w:after="31" w:afterLines="10" w:line="288" w:lineRule="auto"/>
              <w:ind w:firstLine="0" w:firstLineChars="0"/>
              <w:jc w:val="center"/>
              <w:rPr>
                <w:rFonts w:cs="Times New Roman"/>
                <w:color w:val="auto"/>
                <w:sz w:val="21"/>
                <w:szCs w:val="21"/>
              </w:rPr>
            </w:pPr>
            <w:r>
              <w:rPr>
                <w:rFonts w:ascii="宋体" w:hAnsi="宋体" w:cs="Times New Roman"/>
                <w:color w:val="auto"/>
                <w:sz w:val="21"/>
                <w:szCs w:val="21"/>
              </w:rPr>
              <w:t>流量校准（</w:t>
            </w:r>
            <w:r>
              <w:rPr>
                <w:rFonts w:cs="Times New Roman"/>
                <w:color w:val="auto"/>
                <w:sz w:val="21"/>
                <w:szCs w:val="21"/>
              </w:rPr>
              <w:t>L/min)</w:t>
            </w:r>
          </w:p>
        </w:tc>
        <w:tc>
          <w:tcPr>
            <w:tcW w:w="612"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ascii="宋体" w:hAnsi="宋体" w:cs="Times New Roman"/>
                <w:color w:val="auto"/>
                <w:sz w:val="21"/>
                <w:szCs w:val="21"/>
              </w:rPr>
              <w:t>主</w:t>
            </w:r>
          </w:p>
        </w:tc>
        <w:tc>
          <w:tcPr>
            <w:tcW w:w="442"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cs="Times New Roman"/>
                <w:color w:val="auto"/>
                <w:sz w:val="21"/>
                <w:szCs w:val="21"/>
              </w:rPr>
              <w:t>100</w:t>
            </w:r>
          </w:p>
        </w:tc>
        <w:tc>
          <w:tcPr>
            <w:tcW w:w="564"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100.3</w:t>
            </w:r>
          </w:p>
        </w:tc>
        <w:tc>
          <w:tcPr>
            <w:tcW w:w="635"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0.3</w:t>
            </w:r>
          </w:p>
        </w:tc>
        <w:tc>
          <w:tcPr>
            <w:tcW w:w="550"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ascii="宋体" w:hAnsi="宋体" w:cs="Times New Roman"/>
                <w:color w:val="auto"/>
                <w:sz w:val="21"/>
                <w:szCs w:val="21"/>
              </w:rPr>
              <w:t>合格</w:t>
            </w:r>
          </w:p>
        </w:tc>
        <w:tc>
          <w:tcPr>
            <w:tcW w:w="449"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100.4</w:t>
            </w:r>
          </w:p>
        </w:tc>
        <w:tc>
          <w:tcPr>
            <w:tcW w:w="731"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0.4</w:t>
            </w:r>
          </w:p>
        </w:tc>
        <w:tc>
          <w:tcPr>
            <w:tcW w:w="494"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ascii="宋体" w:hAnsi="宋体" w:cs="Times New Roman"/>
                <w:color w:val="auto"/>
                <w:sz w:val="21"/>
                <w:szCs w:val="21"/>
              </w:rPr>
              <w:t>合格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30" w:type="dxa"/>
            <w:bottom w:w="0" w:type="dxa"/>
            <w:right w:w="30" w:type="dxa"/>
          </w:tblCellMar>
        </w:tblPrEx>
        <w:trPr>
          <w:trHeight w:val="275" w:hRule="atLeast"/>
          <w:jc w:val="center"/>
        </w:trPr>
        <w:tc>
          <w:tcPr>
            <w:tcW w:w="1006" w:type="dxa"/>
            <w:vMerge w:val="continue"/>
            <w:vAlign w:val="center"/>
          </w:tcPr>
          <w:p>
            <w:pPr>
              <w:widowControl/>
              <w:spacing w:line="240" w:lineRule="auto"/>
              <w:ind w:firstLine="0" w:firstLineChars="0"/>
              <w:jc w:val="left"/>
              <w:rPr>
                <w:rFonts w:cs="Times New Roman"/>
                <w:color w:val="auto"/>
                <w:sz w:val="21"/>
                <w:szCs w:val="21"/>
              </w:rPr>
            </w:pPr>
          </w:p>
        </w:tc>
        <w:tc>
          <w:tcPr>
            <w:tcW w:w="1110" w:type="dxa"/>
            <w:vMerge w:val="continue"/>
            <w:vAlign w:val="center"/>
          </w:tcPr>
          <w:p>
            <w:pPr>
              <w:widowControl/>
              <w:spacing w:line="240" w:lineRule="auto"/>
              <w:ind w:firstLine="0" w:firstLineChars="0"/>
              <w:jc w:val="left"/>
              <w:rPr>
                <w:rFonts w:cs="Times New Roman"/>
                <w:color w:val="auto"/>
                <w:sz w:val="21"/>
                <w:szCs w:val="21"/>
              </w:rPr>
            </w:pPr>
          </w:p>
        </w:tc>
        <w:tc>
          <w:tcPr>
            <w:tcW w:w="1225" w:type="dxa"/>
            <w:vMerge w:val="continue"/>
            <w:vAlign w:val="center"/>
          </w:tcPr>
          <w:p>
            <w:pPr>
              <w:widowControl/>
              <w:spacing w:line="240" w:lineRule="auto"/>
              <w:ind w:firstLine="0" w:firstLineChars="0"/>
              <w:jc w:val="left"/>
              <w:rPr>
                <w:rFonts w:cs="Times New Roman"/>
                <w:color w:val="auto"/>
                <w:sz w:val="21"/>
                <w:szCs w:val="21"/>
              </w:rPr>
            </w:pPr>
          </w:p>
        </w:tc>
        <w:tc>
          <w:tcPr>
            <w:tcW w:w="908" w:type="dxa"/>
            <w:vMerge w:val="continue"/>
            <w:vAlign w:val="center"/>
          </w:tcPr>
          <w:p>
            <w:pPr>
              <w:widowControl/>
              <w:spacing w:line="240" w:lineRule="auto"/>
              <w:ind w:firstLine="0" w:firstLineChars="0"/>
              <w:jc w:val="left"/>
              <w:rPr>
                <w:rFonts w:cs="Times New Roman"/>
                <w:color w:val="auto"/>
                <w:sz w:val="21"/>
                <w:szCs w:val="21"/>
              </w:rPr>
            </w:pPr>
          </w:p>
        </w:tc>
        <w:tc>
          <w:tcPr>
            <w:tcW w:w="612"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cs="Times New Roman"/>
                <w:color w:val="auto"/>
                <w:sz w:val="21"/>
                <w:szCs w:val="21"/>
              </w:rPr>
              <w:t>A</w:t>
            </w:r>
          </w:p>
        </w:tc>
        <w:tc>
          <w:tcPr>
            <w:tcW w:w="442"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cs="Times New Roman"/>
                <w:color w:val="auto"/>
                <w:sz w:val="21"/>
                <w:szCs w:val="21"/>
              </w:rPr>
              <w:t>1</w:t>
            </w:r>
          </w:p>
        </w:tc>
        <w:tc>
          <w:tcPr>
            <w:tcW w:w="564"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1.01</w:t>
            </w:r>
          </w:p>
        </w:tc>
        <w:tc>
          <w:tcPr>
            <w:tcW w:w="635"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1</w:t>
            </w:r>
          </w:p>
        </w:tc>
        <w:tc>
          <w:tcPr>
            <w:tcW w:w="550"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ascii="宋体" w:hAnsi="宋体" w:cs="Times New Roman"/>
                <w:color w:val="auto"/>
                <w:sz w:val="21"/>
                <w:szCs w:val="21"/>
              </w:rPr>
              <w:t>合格</w:t>
            </w:r>
          </w:p>
        </w:tc>
        <w:tc>
          <w:tcPr>
            <w:tcW w:w="449"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1.01</w:t>
            </w:r>
          </w:p>
        </w:tc>
        <w:tc>
          <w:tcPr>
            <w:tcW w:w="731"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1</w:t>
            </w:r>
          </w:p>
        </w:tc>
        <w:tc>
          <w:tcPr>
            <w:tcW w:w="494"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ascii="宋体" w:hAnsi="宋体" w:cs="Times New Roman"/>
                <w:color w:val="auto"/>
                <w:sz w:val="21"/>
                <w:szCs w:val="21"/>
              </w:rPr>
              <w:t>合格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30" w:type="dxa"/>
            <w:bottom w:w="0" w:type="dxa"/>
            <w:right w:w="30" w:type="dxa"/>
          </w:tblCellMar>
        </w:tblPrEx>
        <w:trPr>
          <w:trHeight w:val="343" w:hRule="atLeast"/>
          <w:jc w:val="center"/>
        </w:trPr>
        <w:tc>
          <w:tcPr>
            <w:tcW w:w="1006" w:type="dxa"/>
            <w:vMerge w:val="continue"/>
            <w:vAlign w:val="center"/>
          </w:tcPr>
          <w:p>
            <w:pPr>
              <w:widowControl/>
              <w:spacing w:line="240" w:lineRule="auto"/>
              <w:ind w:firstLine="0" w:firstLineChars="0"/>
              <w:jc w:val="left"/>
              <w:rPr>
                <w:rFonts w:cs="Times New Roman"/>
                <w:color w:val="auto"/>
                <w:sz w:val="21"/>
                <w:szCs w:val="21"/>
              </w:rPr>
            </w:pPr>
          </w:p>
        </w:tc>
        <w:tc>
          <w:tcPr>
            <w:tcW w:w="1110" w:type="dxa"/>
            <w:vMerge w:val="restart"/>
            <w:vAlign w:val="center"/>
          </w:tcPr>
          <w:p>
            <w:pPr>
              <w:spacing w:line="240" w:lineRule="auto"/>
              <w:ind w:firstLine="0" w:firstLineChars="0"/>
              <w:jc w:val="center"/>
              <w:rPr>
                <w:rFonts w:cs="Times New Roman"/>
                <w:color w:val="auto"/>
                <w:sz w:val="21"/>
                <w:szCs w:val="21"/>
              </w:rPr>
            </w:pPr>
            <w:r>
              <w:rPr>
                <w:rFonts w:cs="Times New Roman"/>
                <w:color w:val="auto"/>
                <w:sz w:val="21"/>
                <w:szCs w:val="21"/>
              </w:rPr>
              <w:t>KB-6120</w:t>
            </w:r>
          </w:p>
        </w:tc>
        <w:tc>
          <w:tcPr>
            <w:tcW w:w="1225" w:type="dxa"/>
            <w:vMerge w:val="restart"/>
            <w:vAlign w:val="center"/>
          </w:tcPr>
          <w:p>
            <w:pPr>
              <w:spacing w:line="240" w:lineRule="auto"/>
              <w:ind w:firstLine="0" w:firstLineChars="0"/>
              <w:jc w:val="center"/>
              <w:rPr>
                <w:rFonts w:cs="Times New Roman"/>
                <w:color w:val="auto"/>
                <w:sz w:val="21"/>
                <w:szCs w:val="21"/>
              </w:rPr>
            </w:pPr>
            <w:r>
              <w:rPr>
                <w:rFonts w:cs="Times New Roman"/>
                <w:color w:val="auto"/>
                <w:sz w:val="21"/>
                <w:szCs w:val="21"/>
              </w:rPr>
              <w:t>MMGR-XC-023-06</w:t>
            </w:r>
          </w:p>
        </w:tc>
        <w:tc>
          <w:tcPr>
            <w:tcW w:w="908" w:type="dxa"/>
            <w:vMerge w:val="restart"/>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ascii="宋体" w:hAnsi="宋体" w:cs="Times New Roman"/>
                <w:color w:val="auto"/>
                <w:sz w:val="21"/>
                <w:szCs w:val="21"/>
              </w:rPr>
              <w:t>流量校准（</w:t>
            </w:r>
            <w:r>
              <w:rPr>
                <w:rFonts w:cs="Times New Roman"/>
                <w:color w:val="auto"/>
                <w:sz w:val="21"/>
                <w:szCs w:val="21"/>
              </w:rPr>
              <w:t>L/min)</w:t>
            </w:r>
          </w:p>
        </w:tc>
        <w:tc>
          <w:tcPr>
            <w:tcW w:w="612"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ascii="宋体" w:hAnsi="宋体" w:cs="Times New Roman"/>
                <w:color w:val="auto"/>
                <w:sz w:val="21"/>
                <w:szCs w:val="21"/>
              </w:rPr>
              <w:t>主</w:t>
            </w:r>
          </w:p>
        </w:tc>
        <w:tc>
          <w:tcPr>
            <w:tcW w:w="442"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cs="Times New Roman"/>
                <w:color w:val="auto"/>
                <w:sz w:val="21"/>
                <w:szCs w:val="21"/>
              </w:rPr>
              <w:t>100</w:t>
            </w:r>
          </w:p>
        </w:tc>
        <w:tc>
          <w:tcPr>
            <w:tcW w:w="564"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99.4</w:t>
            </w:r>
          </w:p>
        </w:tc>
        <w:tc>
          <w:tcPr>
            <w:tcW w:w="635"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-0.6</w:t>
            </w:r>
          </w:p>
        </w:tc>
        <w:tc>
          <w:tcPr>
            <w:tcW w:w="550"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ascii="宋体" w:hAnsi="宋体" w:cs="Times New Roman"/>
                <w:color w:val="auto"/>
                <w:sz w:val="21"/>
                <w:szCs w:val="21"/>
              </w:rPr>
              <w:t>合格</w:t>
            </w:r>
          </w:p>
        </w:tc>
        <w:tc>
          <w:tcPr>
            <w:tcW w:w="449"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99.7</w:t>
            </w:r>
          </w:p>
        </w:tc>
        <w:tc>
          <w:tcPr>
            <w:tcW w:w="731"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-0.3</w:t>
            </w:r>
          </w:p>
        </w:tc>
        <w:tc>
          <w:tcPr>
            <w:tcW w:w="494"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ascii="宋体" w:hAnsi="宋体" w:cs="Times New Roman"/>
                <w:color w:val="auto"/>
                <w:sz w:val="21"/>
                <w:szCs w:val="21"/>
              </w:rPr>
              <w:t>合格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30" w:type="dxa"/>
            <w:bottom w:w="0" w:type="dxa"/>
            <w:right w:w="30" w:type="dxa"/>
          </w:tblCellMar>
        </w:tblPrEx>
        <w:trPr>
          <w:trHeight w:val="343" w:hRule="atLeast"/>
          <w:jc w:val="center"/>
        </w:trPr>
        <w:tc>
          <w:tcPr>
            <w:tcW w:w="1006" w:type="dxa"/>
            <w:vMerge w:val="continue"/>
            <w:vAlign w:val="center"/>
          </w:tcPr>
          <w:p>
            <w:pPr>
              <w:widowControl/>
              <w:spacing w:line="240" w:lineRule="auto"/>
              <w:ind w:firstLine="0" w:firstLineChars="0"/>
              <w:jc w:val="left"/>
              <w:rPr>
                <w:rFonts w:cs="Times New Roman"/>
                <w:color w:val="auto"/>
                <w:sz w:val="21"/>
                <w:szCs w:val="21"/>
              </w:rPr>
            </w:pPr>
          </w:p>
        </w:tc>
        <w:tc>
          <w:tcPr>
            <w:tcW w:w="1110" w:type="dxa"/>
            <w:vMerge w:val="continue"/>
            <w:vAlign w:val="center"/>
          </w:tcPr>
          <w:p>
            <w:pPr>
              <w:widowControl/>
              <w:spacing w:line="240" w:lineRule="auto"/>
              <w:ind w:firstLine="0" w:firstLineChars="0"/>
              <w:jc w:val="left"/>
              <w:rPr>
                <w:rFonts w:cs="Times New Roman"/>
                <w:color w:val="auto"/>
                <w:sz w:val="21"/>
                <w:szCs w:val="21"/>
              </w:rPr>
            </w:pPr>
          </w:p>
        </w:tc>
        <w:tc>
          <w:tcPr>
            <w:tcW w:w="1225" w:type="dxa"/>
            <w:vMerge w:val="continue"/>
            <w:vAlign w:val="center"/>
          </w:tcPr>
          <w:p>
            <w:pPr>
              <w:widowControl/>
              <w:spacing w:line="240" w:lineRule="auto"/>
              <w:ind w:firstLine="0" w:firstLineChars="0"/>
              <w:jc w:val="left"/>
              <w:rPr>
                <w:rFonts w:cs="Times New Roman"/>
                <w:color w:val="auto"/>
                <w:sz w:val="21"/>
                <w:szCs w:val="21"/>
              </w:rPr>
            </w:pPr>
          </w:p>
        </w:tc>
        <w:tc>
          <w:tcPr>
            <w:tcW w:w="908" w:type="dxa"/>
            <w:vMerge w:val="continue"/>
            <w:vAlign w:val="center"/>
          </w:tcPr>
          <w:p>
            <w:pPr>
              <w:widowControl/>
              <w:spacing w:line="240" w:lineRule="auto"/>
              <w:ind w:firstLine="0" w:firstLineChars="0"/>
              <w:jc w:val="left"/>
              <w:rPr>
                <w:rFonts w:cs="Times New Roman"/>
                <w:color w:val="auto"/>
                <w:sz w:val="21"/>
                <w:szCs w:val="21"/>
              </w:rPr>
            </w:pPr>
          </w:p>
        </w:tc>
        <w:tc>
          <w:tcPr>
            <w:tcW w:w="612"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cs="Times New Roman"/>
                <w:color w:val="auto"/>
                <w:sz w:val="21"/>
                <w:szCs w:val="21"/>
              </w:rPr>
              <w:t>A</w:t>
            </w:r>
          </w:p>
        </w:tc>
        <w:tc>
          <w:tcPr>
            <w:tcW w:w="442"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cs="Times New Roman"/>
                <w:color w:val="auto"/>
                <w:sz w:val="21"/>
                <w:szCs w:val="21"/>
              </w:rPr>
              <w:t>1</w:t>
            </w:r>
          </w:p>
        </w:tc>
        <w:tc>
          <w:tcPr>
            <w:tcW w:w="564"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0.98</w:t>
            </w:r>
          </w:p>
        </w:tc>
        <w:tc>
          <w:tcPr>
            <w:tcW w:w="635"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-2</w:t>
            </w:r>
          </w:p>
        </w:tc>
        <w:tc>
          <w:tcPr>
            <w:tcW w:w="550"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ascii="宋体" w:hAnsi="宋体" w:cs="Times New Roman"/>
                <w:color w:val="auto"/>
                <w:sz w:val="21"/>
                <w:szCs w:val="21"/>
              </w:rPr>
              <w:t>合格</w:t>
            </w:r>
          </w:p>
        </w:tc>
        <w:tc>
          <w:tcPr>
            <w:tcW w:w="449"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0.99</w:t>
            </w:r>
          </w:p>
        </w:tc>
        <w:tc>
          <w:tcPr>
            <w:tcW w:w="731"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-1</w:t>
            </w:r>
          </w:p>
        </w:tc>
        <w:tc>
          <w:tcPr>
            <w:tcW w:w="494"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ascii="宋体" w:hAnsi="宋体" w:cs="Times New Roman"/>
                <w:color w:val="auto"/>
                <w:sz w:val="21"/>
                <w:szCs w:val="21"/>
              </w:rPr>
              <w:t>合格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30" w:type="dxa"/>
            <w:bottom w:w="0" w:type="dxa"/>
            <w:right w:w="30" w:type="dxa"/>
          </w:tblCellMar>
        </w:tblPrEx>
        <w:trPr>
          <w:trHeight w:val="392" w:hRule="atLeast"/>
          <w:jc w:val="center"/>
        </w:trPr>
        <w:tc>
          <w:tcPr>
            <w:tcW w:w="1006" w:type="dxa"/>
            <w:vMerge w:val="continue"/>
            <w:vAlign w:val="center"/>
          </w:tcPr>
          <w:p>
            <w:pPr>
              <w:widowControl/>
              <w:spacing w:line="240" w:lineRule="auto"/>
              <w:ind w:firstLine="0" w:firstLineChars="0"/>
              <w:jc w:val="left"/>
              <w:rPr>
                <w:rFonts w:cs="Times New Roman"/>
                <w:color w:val="auto"/>
                <w:sz w:val="21"/>
                <w:szCs w:val="21"/>
              </w:rPr>
            </w:pPr>
          </w:p>
        </w:tc>
        <w:tc>
          <w:tcPr>
            <w:tcW w:w="1110" w:type="dxa"/>
            <w:vAlign w:val="center"/>
          </w:tcPr>
          <w:p>
            <w:pPr>
              <w:spacing w:line="240" w:lineRule="auto"/>
              <w:ind w:firstLine="0" w:firstLineChars="0"/>
              <w:jc w:val="center"/>
              <w:rPr>
                <w:rFonts w:cs="Times New Roman"/>
                <w:color w:val="auto"/>
                <w:sz w:val="21"/>
                <w:szCs w:val="21"/>
              </w:rPr>
            </w:pPr>
            <w:r>
              <w:rPr>
                <w:rFonts w:cs="Times New Roman"/>
                <w:color w:val="auto"/>
                <w:sz w:val="21"/>
                <w:szCs w:val="21"/>
              </w:rPr>
              <w:t>MH3300</w:t>
            </w:r>
          </w:p>
        </w:tc>
        <w:tc>
          <w:tcPr>
            <w:tcW w:w="1225" w:type="dxa"/>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MMGR-XC-019-01</w:t>
            </w:r>
          </w:p>
        </w:tc>
        <w:tc>
          <w:tcPr>
            <w:tcW w:w="908" w:type="dxa"/>
            <w:vAlign w:val="center"/>
          </w:tcPr>
          <w:p>
            <w:pPr>
              <w:autoSpaceDE w:val="0"/>
              <w:autoSpaceDN w:val="0"/>
              <w:adjustRightInd w:val="0"/>
              <w:spacing w:before="31" w:beforeLines="10" w:after="31" w:afterLines="10" w:line="280" w:lineRule="exact"/>
              <w:ind w:firstLine="0" w:firstLineChars="0"/>
              <w:jc w:val="center"/>
              <w:rPr>
                <w:rFonts w:cs="Times New Roman"/>
                <w:color w:val="auto"/>
                <w:sz w:val="21"/>
                <w:szCs w:val="21"/>
              </w:rPr>
            </w:pPr>
            <w:r>
              <w:rPr>
                <w:rFonts w:ascii="宋体" w:hAnsi="宋体" w:cs="Times New Roman"/>
                <w:color w:val="auto"/>
                <w:sz w:val="21"/>
                <w:szCs w:val="21"/>
              </w:rPr>
              <w:t>流量校准（</w:t>
            </w:r>
            <w:r>
              <w:rPr>
                <w:rFonts w:cs="Times New Roman"/>
                <w:color w:val="auto"/>
                <w:sz w:val="21"/>
                <w:szCs w:val="21"/>
              </w:rPr>
              <w:t>L/min)</w:t>
            </w:r>
          </w:p>
        </w:tc>
        <w:tc>
          <w:tcPr>
            <w:tcW w:w="612"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ascii="宋体" w:hAnsi="宋体" w:cs="Times New Roman"/>
                <w:color w:val="auto"/>
                <w:sz w:val="21"/>
                <w:szCs w:val="21"/>
              </w:rPr>
              <w:t>主</w:t>
            </w:r>
          </w:p>
        </w:tc>
        <w:tc>
          <w:tcPr>
            <w:tcW w:w="442"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cs="Times New Roman"/>
                <w:color w:val="auto"/>
                <w:sz w:val="21"/>
                <w:szCs w:val="21"/>
              </w:rPr>
              <w:t>30</w:t>
            </w:r>
          </w:p>
        </w:tc>
        <w:tc>
          <w:tcPr>
            <w:tcW w:w="564"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29.7</w:t>
            </w:r>
          </w:p>
        </w:tc>
        <w:tc>
          <w:tcPr>
            <w:tcW w:w="635" w:type="dxa"/>
            <w:vAlign w:val="center"/>
          </w:tcPr>
          <w:p>
            <w:pPr>
              <w:widowControl/>
              <w:spacing w:line="240" w:lineRule="auto"/>
              <w:ind w:firstLine="0" w:firstLineChars="0"/>
              <w:jc w:val="center"/>
              <w:textAlignment w:val="center"/>
              <w:rPr>
                <w:rFonts w:cs="Times New Roman"/>
                <w:color w:val="auto"/>
                <w:kern w:val="0"/>
                <w:sz w:val="21"/>
                <w:szCs w:val="21"/>
              </w:rPr>
            </w:pPr>
            <w:r>
              <w:rPr>
                <w:rFonts w:cs="Times New Roman"/>
                <w:color w:val="auto"/>
                <w:kern w:val="0"/>
                <w:sz w:val="21"/>
                <w:szCs w:val="21"/>
              </w:rPr>
              <w:t>-1</w:t>
            </w:r>
          </w:p>
        </w:tc>
        <w:tc>
          <w:tcPr>
            <w:tcW w:w="550"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ascii="宋体" w:hAnsi="宋体" w:cs="Times New Roman"/>
                <w:color w:val="auto"/>
                <w:sz w:val="21"/>
                <w:szCs w:val="21"/>
              </w:rPr>
              <w:t>合格</w:t>
            </w:r>
          </w:p>
        </w:tc>
        <w:tc>
          <w:tcPr>
            <w:tcW w:w="449"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29.7</w:t>
            </w:r>
          </w:p>
        </w:tc>
        <w:tc>
          <w:tcPr>
            <w:tcW w:w="731" w:type="dxa"/>
            <w:vAlign w:val="center"/>
          </w:tcPr>
          <w:p>
            <w:pPr>
              <w:widowControl/>
              <w:spacing w:line="240" w:lineRule="auto"/>
              <w:ind w:firstLine="0" w:firstLineChars="0"/>
              <w:jc w:val="center"/>
              <w:textAlignment w:val="center"/>
              <w:rPr>
                <w:rFonts w:cs="Times New Roman"/>
                <w:color w:val="auto"/>
                <w:kern w:val="0"/>
                <w:sz w:val="21"/>
                <w:szCs w:val="21"/>
              </w:rPr>
            </w:pPr>
            <w:r>
              <w:rPr>
                <w:rFonts w:cs="Times New Roman"/>
                <w:color w:val="auto"/>
                <w:kern w:val="0"/>
                <w:sz w:val="21"/>
                <w:szCs w:val="21"/>
              </w:rPr>
              <w:t>-1</w:t>
            </w:r>
          </w:p>
        </w:tc>
        <w:tc>
          <w:tcPr>
            <w:tcW w:w="494"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ascii="宋体" w:hAnsi="宋体" w:cs="Times New Roman"/>
                <w:color w:val="auto"/>
                <w:sz w:val="21"/>
                <w:szCs w:val="21"/>
              </w:rPr>
              <w:t>合格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30" w:type="dxa"/>
            <w:bottom w:w="0" w:type="dxa"/>
            <w:right w:w="30" w:type="dxa"/>
          </w:tblCellMar>
        </w:tblPrEx>
        <w:trPr>
          <w:trHeight w:val="270" w:hRule="atLeast"/>
          <w:jc w:val="center"/>
        </w:trPr>
        <w:tc>
          <w:tcPr>
            <w:tcW w:w="1006" w:type="dxa"/>
            <w:vMerge w:val="restart"/>
            <w:vAlign w:val="center"/>
          </w:tcPr>
          <w:p>
            <w:pPr>
              <w:widowControl/>
              <w:spacing w:line="240" w:lineRule="auto"/>
              <w:ind w:firstLine="0" w:firstLineChars="0"/>
              <w:jc w:val="center"/>
              <w:rPr>
                <w:rFonts w:cs="Times New Roman"/>
                <w:color w:val="auto"/>
                <w:sz w:val="21"/>
                <w:szCs w:val="21"/>
              </w:rPr>
            </w:pPr>
            <w:r>
              <w:rPr>
                <w:rFonts w:cs="Times New Roman"/>
                <w:color w:val="auto"/>
                <w:sz w:val="21"/>
                <w:szCs w:val="21"/>
              </w:rPr>
              <w:t>2025.12.11</w:t>
            </w:r>
          </w:p>
        </w:tc>
        <w:tc>
          <w:tcPr>
            <w:tcW w:w="1110" w:type="dxa"/>
            <w:vMerge w:val="restart"/>
            <w:vAlign w:val="center"/>
          </w:tcPr>
          <w:p>
            <w:pPr>
              <w:spacing w:line="240" w:lineRule="auto"/>
              <w:ind w:firstLine="0" w:firstLineChars="0"/>
              <w:jc w:val="center"/>
              <w:rPr>
                <w:rFonts w:cs="Times New Roman"/>
                <w:color w:val="auto"/>
                <w:sz w:val="21"/>
                <w:szCs w:val="21"/>
              </w:rPr>
            </w:pPr>
            <w:r>
              <w:rPr>
                <w:rFonts w:cs="Times New Roman"/>
                <w:color w:val="auto"/>
                <w:sz w:val="21"/>
                <w:szCs w:val="21"/>
              </w:rPr>
              <w:t>YLB-2700C</w:t>
            </w:r>
          </w:p>
        </w:tc>
        <w:tc>
          <w:tcPr>
            <w:tcW w:w="1225" w:type="dxa"/>
            <w:vMerge w:val="restart"/>
            <w:vAlign w:val="center"/>
          </w:tcPr>
          <w:p>
            <w:pPr>
              <w:spacing w:line="240" w:lineRule="auto"/>
              <w:ind w:firstLine="0" w:firstLineChars="0"/>
              <w:jc w:val="center"/>
              <w:rPr>
                <w:rFonts w:cs="Times New Roman"/>
                <w:color w:val="auto"/>
                <w:sz w:val="21"/>
                <w:szCs w:val="21"/>
              </w:rPr>
            </w:pPr>
            <w:r>
              <w:rPr>
                <w:rFonts w:cs="Times New Roman"/>
                <w:color w:val="auto"/>
                <w:sz w:val="21"/>
                <w:szCs w:val="21"/>
              </w:rPr>
              <w:t>MMGR-XC-004-03</w:t>
            </w:r>
          </w:p>
        </w:tc>
        <w:tc>
          <w:tcPr>
            <w:tcW w:w="908" w:type="dxa"/>
            <w:vMerge w:val="restart"/>
            <w:vAlign w:val="center"/>
          </w:tcPr>
          <w:p>
            <w:pPr>
              <w:autoSpaceDE w:val="0"/>
              <w:autoSpaceDN w:val="0"/>
              <w:adjustRightInd w:val="0"/>
              <w:spacing w:before="31" w:beforeLines="10" w:after="31" w:afterLines="10" w:line="288" w:lineRule="auto"/>
              <w:ind w:firstLine="0" w:firstLineChars="0"/>
              <w:jc w:val="center"/>
              <w:rPr>
                <w:rFonts w:cs="Times New Roman"/>
                <w:color w:val="auto"/>
                <w:sz w:val="21"/>
                <w:szCs w:val="21"/>
              </w:rPr>
            </w:pPr>
            <w:r>
              <w:rPr>
                <w:rFonts w:ascii="宋体" w:hAnsi="宋体" w:cs="Times New Roman"/>
                <w:color w:val="auto"/>
                <w:sz w:val="21"/>
                <w:szCs w:val="21"/>
              </w:rPr>
              <w:t>流量校准（</w:t>
            </w:r>
            <w:r>
              <w:rPr>
                <w:rFonts w:cs="Times New Roman"/>
                <w:color w:val="auto"/>
                <w:sz w:val="21"/>
                <w:szCs w:val="21"/>
              </w:rPr>
              <w:t>L/min)</w:t>
            </w:r>
          </w:p>
        </w:tc>
        <w:tc>
          <w:tcPr>
            <w:tcW w:w="612"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ascii="宋体" w:hAnsi="宋体" w:cs="Times New Roman"/>
                <w:color w:val="auto"/>
                <w:sz w:val="21"/>
                <w:szCs w:val="21"/>
              </w:rPr>
              <w:t>主</w:t>
            </w:r>
          </w:p>
        </w:tc>
        <w:tc>
          <w:tcPr>
            <w:tcW w:w="442"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cs="Times New Roman"/>
                <w:color w:val="auto"/>
                <w:sz w:val="21"/>
                <w:szCs w:val="21"/>
              </w:rPr>
              <w:t>100</w:t>
            </w:r>
          </w:p>
        </w:tc>
        <w:tc>
          <w:tcPr>
            <w:tcW w:w="564"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100.4</w:t>
            </w:r>
          </w:p>
        </w:tc>
        <w:tc>
          <w:tcPr>
            <w:tcW w:w="635"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0.4</w:t>
            </w:r>
          </w:p>
        </w:tc>
        <w:tc>
          <w:tcPr>
            <w:tcW w:w="550"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ascii="宋体" w:hAnsi="宋体" w:cs="Times New Roman"/>
                <w:color w:val="auto"/>
                <w:sz w:val="21"/>
                <w:szCs w:val="21"/>
              </w:rPr>
              <w:t>合格</w:t>
            </w:r>
          </w:p>
        </w:tc>
        <w:tc>
          <w:tcPr>
            <w:tcW w:w="449"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100.4</w:t>
            </w:r>
          </w:p>
        </w:tc>
        <w:tc>
          <w:tcPr>
            <w:tcW w:w="731"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0.4</w:t>
            </w:r>
          </w:p>
        </w:tc>
        <w:tc>
          <w:tcPr>
            <w:tcW w:w="494"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ascii="宋体" w:hAnsi="宋体" w:cs="Times New Roman"/>
                <w:color w:val="auto"/>
                <w:sz w:val="21"/>
                <w:szCs w:val="21"/>
              </w:rPr>
              <w:t>合格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30" w:type="dxa"/>
            <w:bottom w:w="0" w:type="dxa"/>
            <w:right w:w="30" w:type="dxa"/>
          </w:tblCellMar>
        </w:tblPrEx>
        <w:trPr>
          <w:trHeight w:val="270" w:hRule="atLeast"/>
          <w:jc w:val="center"/>
        </w:trPr>
        <w:tc>
          <w:tcPr>
            <w:tcW w:w="1006" w:type="dxa"/>
            <w:vMerge w:val="continue"/>
            <w:vAlign w:val="center"/>
          </w:tcPr>
          <w:p>
            <w:pPr>
              <w:widowControl/>
              <w:spacing w:line="240" w:lineRule="auto"/>
              <w:ind w:firstLine="0" w:firstLineChars="0"/>
              <w:jc w:val="left"/>
              <w:rPr>
                <w:rFonts w:cs="Times New Roman"/>
                <w:color w:val="auto"/>
                <w:kern w:val="0"/>
                <w:sz w:val="21"/>
                <w:szCs w:val="21"/>
              </w:rPr>
            </w:pPr>
          </w:p>
        </w:tc>
        <w:tc>
          <w:tcPr>
            <w:tcW w:w="1110" w:type="dxa"/>
            <w:vMerge w:val="continue"/>
            <w:vAlign w:val="center"/>
          </w:tcPr>
          <w:p>
            <w:pPr>
              <w:widowControl/>
              <w:spacing w:line="240" w:lineRule="auto"/>
              <w:ind w:firstLine="0" w:firstLineChars="0"/>
              <w:jc w:val="left"/>
              <w:rPr>
                <w:rFonts w:cs="Times New Roman"/>
                <w:color w:val="auto"/>
                <w:sz w:val="21"/>
                <w:szCs w:val="21"/>
              </w:rPr>
            </w:pPr>
          </w:p>
        </w:tc>
        <w:tc>
          <w:tcPr>
            <w:tcW w:w="1225" w:type="dxa"/>
            <w:vMerge w:val="continue"/>
            <w:vAlign w:val="center"/>
          </w:tcPr>
          <w:p>
            <w:pPr>
              <w:widowControl/>
              <w:spacing w:line="240" w:lineRule="auto"/>
              <w:ind w:firstLine="0" w:firstLineChars="0"/>
              <w:jc w:val="left"/>
              <w:rPr>
                <w:rFonts w:cs="Times New Roman"/>
                <w:color w:val="auto"/>
                <w:sz w:val="21"/>
                <w:szCs w:val="21"/>
              </w:rPr>
            </w:pPr>
          </w:p>
        </w:tc>
        <w:tc>
          <w:tcPr>
            <w:tcW w:w="908" w:type="dxa"/>
            <w:vMerge w:val="continue"/>
            <w:vAlign w:val="center"/>
          </w:tcPr>
          <w:p>
            <w:pPr>
              <w:widowControl/>
              <w:spacing w:line="240" w:lineRule="auto"/>
              <w:ind w:firstLine="0" w:firstLineChars="0"/>
              <w:jc w:val="left"/>
              <w:rPr>
                <w:rFonts w:cs="Times New Roman"/>
                <w:color w:val="auto"/>
                <w:sz w:val="21"/>
                <w:szCs w:val="21"/>
              </w:rPr>
            </w:pPr>
          </w:p>
        </w:tc>
        <w:tc>
          <w:tcPr>
            <w:tcW w:w="612"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cs="Times New Roman"/>
                <w:color w:val="auto"/>
                <w:sz w:val="21"/>
                <w:szCs w:val="21"/>
              </w:rPr>
              <w:t>A</w:t>
            </w:r>
          </w:p>
        </w:tc>
        <w:tc>
          <w:tcPr>
            <w:tcW w:w="442"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cs="Times New Roman"/>
                <w:color w:val="auto"/>
                <w:sz w:val="21"/>
                <w:szCs w:val="21"/>
              </w:rPr>
              <w:t>1</w:t>
            </w:r>
          </w:p>
        </w:tc>
        <w:tc>
          <w:tcPr>
            <w:tcW w:w="564"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1.01</w:t>
            </w:r>
          </w:p>
        </w:tc>
        <w:tc>
          <w:tcPr>
            <w:tcW w:w="635"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1</w:t>
            </w:r>
          </w:p>
        </w:tc>
        <w:tc>
          <w:tcPr>
            <w:tcW w:w="550"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ascii="宋体" w:hAnsi="宋体" w:cs="Times New Roman"/>
                <w:color w:val="auto"/>
                <w:sz w:val="21"/>
                <w:szCs w:val="21"/>
              </w:rPr>
              <w:t>合格</w:t>
            </w:r>
          </w:p>
        </w:tc>
        <w:tc>
          <w:tcPr>
            <w:tcW w:w="449"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1.01</w:t>
            </w:r>
          </w:p>
        </w:tc>
        <w:tc>
          <w:tcPr>
            <w:tcW w:w="731"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1</w:t>
            </w:r>
          </w:p>
        </w:tc>
        <w:tc>
          <w:tcPr>
            <w:tcW w:w="494"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ascii="宋体" w:hAnsi="宋体" w:cs="Times New Roman"/>
                <w:color w:val="auto"/>
                <w:sz w:val="21"/>
                <w:szCs w:val="21"/>
              </w:rPr>
              <w:t>合格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30" w:type="dxa"/>
            <w:bottom w:w="0" w:type="dxa"/>
            <w:right w:w="30" w:type="dxa"/>
          </w:tblCellMar>
        </w:tblPrEx>
        <w:trPr>
          <w:trHeight w:val="275" w:hRule="atLeast"/>
          <w:jc w:val="center"/>
        </w:trPr>
        <w:tc>
          <w:tcPr>
            <w:tcW w:w="1006" w:type="dxa"/>
            <w:vMerge w:val="continue"/>
            <w:vAlign w:val="center"/>
          </w:tcPr>
          <w:p>
            <w:pPr>
              <w:widowControl/>
              <w:spacing w:line="240" w:lineRule="auto"/>
              <w:ind w:firstLine="0" w:firstLineChars="0"/>
              <w:jc w:val="left"/>
              <w:rPr>
                <w:rFonts w:cs="Times New Roman"/>
                <w:color w:val="auto"/>
                <w:kern w:val="0"/>
                <w:sz w:val="21"/>
                <w:szCs w:val="21"/>
              </w:rPr>
            </w:pPr>
          </w:p>
        </w:tc>
        <w:tc>
          <w:tcPr>
            <w:tcW w:w="1110" w:type="dxa"/>
            <w:vMerge w:val="restart"/>
            <w:vAlign w:val="center"/>
          </w:tcPr>
          <w:p>
            <w:pPr>
              <w:spacing w:line="240" w:lineRule="auto"/>
              <w:ind w:firstLine="0" w:firstLineChars="0"/>
              <w:jc w:val="center"/>
              <w:rPr>
                <w:rFonts w:cs="Times New Roman"/>
                <w:color w:val="auto"/>
                <w:sz w:val="21"/>
                <w:szCs w:val="21"/>
              </w:rPr>
            </w:pPr>
            <w:r>
              <w:rPr>
                <w:rFonts w:cs="Times New Roman"/>
                <w:color w:val="auto"/>
                <w:sz w:val="21"/>
                <w:szCs w:val="21"/>
              </w:rPr>
              <w:t>YLB-2700C</w:t>
            </w:r>
          </w:p>
        </w:tc>
        <w:tc>
          <w:tcPr>
            <w:tcW w:w="1225" w:type="dxa"/>
            <w:vMerge w:val="restart"/>
            <w:vAlign w:val="center"/>
          </w:tcPr>
          <w:p>
            <w:pPr>
              <w:spacing w:line="240" w:lineRule="auto"/>
              <w:ind w:firstLine="0" w:firstLineChars="0"/>
              <w:jc w:val="center"/>
              <w:rPr>
                <w:rFonts w:cs="Times New Roman"/>
                <w:color w:val="auto"/>
                <w:sz w:val="21"/>
                <w:szCs w:val="21"/>
              </w:rPr>
            </w:pPr>
            <w:r>
              <w:rPr>
                <w:rFonts w:cs="Times New Roman"/>
                <w:color w:val="auto"/>
                <w:sz w:val="21"/>
                <w:szCs w:val="21"/>
              </w:rPr>
              <w:t>MMGR-XC-004-04</w:t>
            </w:r>
          </w:p>
        </w:tc>
        <w:tc>
          <w:tcPr>
            <w:tcW w:w="908" w:type="dxa"/>
            <w:vMerge w:val="restart"/>
            <w:vAlign w:val="center"/>
          </w:tcPr>
          <w:p>
            <w:pPr>
              <w:autoSpaceDE w:val="0"/>
              <w:autoSpaceDN w:val="0"/>
              <w:adjustRightInd w:val="0"/>
              <w:spacing w:before="31" w:beforeLines="10" w:after="31" w:afterLines="10" w:line="288" w:lineRule="auto"/>
              <w:ind w:firstLine="0" w:firstLineChars="0"/>
              <w:jc w:val="center"/>
              <w:rPr>
                <w:rFonts w:cs="Times New Roman"/>
                <w:color w:val="auto"/>
                <w:sz w:val="21"/>
                <w:szCs w:val="21"/>
              </w:rPr>
            </w:pPr>
            <w:r>
              <w:rPr>
                <w:rFonts w:ascii="宋体" w:hAnsi="宋体" w:cs="Times New Roman"/>
                <w:color w:val="auto"/>
                <w:sz w:val="21"/>
                <w:szCs w:val="21"/>
              </w:rPr>
              <w:t>流量校准（</w:t>
            </w:r>
            <w:r>
              <w:rPr>
                <w:rFonts w:cs="Times New Roman"/>
                <w:color w:val="auto"/>
                <w:sz w:val="21"/>
                <w:szCs w:val="21"/>
              </w:rPr>
              <w:t>L/min)</w:t>
            </w:r>
          </w:p>
        </w:tc>
        <w:tc>
          <w:tcPr>
            <w:tcW w:w="612"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ascii="宋体" w:hAnsi="宋体" w:cs="Times New Roman"/>
                <w:color w:val="auto"/>
                <w:sz w:val="21"/>
                <w:szCs w:val="21"/>
              </w:rPr>
              <w:t>主</w:t>
            </w:r>
          </w:p>
        </w:tc>
        <w:tc>
          <w:tcPr>
            <w:tcW w:w="442"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cs="Times New Roman"/>
                <w:color w:val="auto"/>
                <w:sz w:val="21"/>
                <w:szCs w:val="21"/>
              </w:rPr>
              <w:t>100</w:t>
            </w:r>
          </w:p>
        </w:tc>
        <w:tc>
          <w:tcPr>
            <w:tcW w:w="564"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100.5</w:t>
            </w:r>
          </w:p>
        </w:tc>
        <w:tc>
          <w:tcPr>
            <w:tcW w:w="635"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0.5</w:t>
            </w:r>
          </w:p>
        </w:tc>
        <w:tc>
          <w:tcPr>
            <w:tcW w:w="550"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ascii="宋体" w:hAnsi="宋体" w:cs="Times New Roman"/>
                <w:color w:val="auto"/>
                <w:sz w:val="21"/>
                <w:szCs w:val="21"/>
              </w:rPr>
              <w:t>合格</w:t>
            </w:r>
          </w:p>
        </w:tc>
        <w:tc>
          <w:tcPr>
            <w:tcW w:w="449"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100.4</w:t>
            </w:r>
          </w:p>
        </w:tc>
        <w:tc>
          <w:tcPr>
            <w:tcW w:w="731"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0.4</w:t>
            </w:r>
          </w:p>
        </w:tc>
        <w:tc>
          <w:tcPr>
            <w:tcW w:w="494"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ascii="宋体" w:hAnsi="宋体" w:cs="Times New Roman"/>
                <w:color w:val="auto"/>
                <w:sz w:val="21"/>
                <w:szCs w:val="21"/>
              </w:rPr>
              <w:t>合格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30" w:type="dxa"/>
            <w:bottom w:w="0" w:type="dxa"/>
            <w:right w:w="30" w:type="dxa"/>
          </w:tblCellMar>
        </w:tblPrEx>
        <w:trPr>
          <w:trHeight w:val="275" w:hRule="atLeast"/>
          <w:jc w:val="center"/>
        </w:trPr>
        <w:tc>
          <w:tcPr>
            <w:tcW w:w="1006" w:type="dxa"/>
            <w:vMerge w:val="continue"/>
            <w:vAlign w:val="center"/>
          </w:tcPr>
          <w:p>
            <w:pPr>
              <w:widowControl/>
              <w:spacing w:line="240" w:lineRule="auto"/>
              <w:ind w:firstLine="0" w:firstLineChars="0"/>
              <w:jc w:val="left"/>
              <w:rPr>
                <w:rFonts w:cs="Times New Roman"/>
                <w:color w:val="auto"/>
                <w:kern w:val="0"/>
                <w:sz w:val="21"/>
                <w:szCs w:val="21"/>
              </w:rPr>
            </w:pPr>
          </w:p>
        </w:tc>
        <w:tc>
          <w:tcPr>
            <w:tcW w:w="1110" w:type="dxa"/>
            <w:vMerge w:val="continue"/>
            <w:vAlign w:val="center"/>
          </w:tcPr>
          <w:p>
            <w:pPr>
              <w:widowControl/>
              <w:spacing w:line="240" w:lineRule="auto"/>
              <w:ind w:firstLine="0" w:firstLineChars="0"/>
              <w:jc w:val="left"/>
              <w:rPr>
                <w:rFonts w:cs="Times New Roman"/>
                <w:color w:val="auto"/>
                <w:sz w:val="21"/>
                <w:szCs w:val="21"/>
              </w:rPr>
            </w:pPr>
          </w:p>
        </w:tc>
        <w:tc>
          <w:tcPr>
            <w:tcW w:w="1225" w:type="dxa"/>
            <w:vMerge w:val="continue"/>
            <w:vAlign w:val="center"/>
          </w:tcPr>
          <w:p>
            <w:pPr>
              <w:widowControl/>
              <w:spacing w:line="240" w:lineRule="auto"/>
              <w:ind w:firstLine="0" w:firstLineChars="0"/>
              <w:jc w:val="left"/>
              <w:rPr>
                <w:rFonts w:cs="Times New Roman"/>
                <w:color w:val="auto"/>
                <w:sz w:val="21"/>
                <w:szCs w:val="21"/>
              </w:rPr>
            </w:pPr>
          </w:p>
        </w:tc>
        <w:tc>
          <w:tcPr>
            <w:tcW w:w="908" w:type="dxa"/>
            <w:vMerge w:val="continue"/>
            <w:vAlign w:val="center"/>
          </w:tcPr>
          <w:p>
            <w:pPr>
              <w:widowControl/>
              <w:spacing w:line="240" w:lineRule="auto"/>
              <w:ind w:firstLine="0" w:firstLineChars="0"/>
              <w:jc w:val="left"/>
              <w:rPr>
                <w:rFonts w:cs="Times New Roman"/>
                <w:color w:val="auto"/>
                <w:sz w:val="21"/>
                <w:szCs w:val="21"/>
              </w:rPr>
            </w:pPr>
          </w:p>
        </w:tc>
        <w:tc>
          <w:tcPr>
            <w:tcW w:w="612"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cs="Times New Roman"/>
                <w:color w:val="auto"/>
                <w:sz w:val="21"/>
                <w:szCs w:val="21"/>
              </w:rPr>
              <w:t>A</w:t>
            </w:r>
          </w:p>
        </w:tc>
        <w:tc>
          <w:tcPr>
            <w:tcW w:w="442"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cs="Times New Roman"/>
                <w:color w:val="auto"/>
                <w:sz w:val="21"/>
                <w:szCs w:val="21"/>
              </w:rPr>
              <w:t>1</w:t>
            </w:r>
          </w:p>
        </w:tc>
        <w:tc>
          <w:tcPr>
            <w:tcW w:w="564"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1.02</w:t>
            </w:r>
          </w:p>
        </w:tc>
        <w:tc>
          <w:tcPr>
            <w:tcW w:w="635"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2</w:t>
            </w:r>
          </w:p>
        </w:tc>
        <w:tc>
          <w:tcPr>
            <w:tcW w:w="550"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ascii="宋体" w:hAnsi="宋体" w:cs="Times New Roman"/>
                <w:color w:val="auto"/>
                <w:sz w:val="21"/>
                <w:szCs w:val="21"/>
              </w:rPr>
              <w:t>合格</w:t>
            </w:r>
          </w:p>
        </w:tc>
        <w:tc>
          <w:tcPr>
            <w:tcW w:w="449"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1.01</w:t>
            </w:r>
          </w:p>
        </w:tc>
        <w:tc>
          <w:tcPr>
            <w:tcW w:w="731"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1</w:t>
            </w:r>
          </w:p>
        </w:tc>
        <w:tc>
          <w:tcPr>
            <w:tcW w:w="494"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ascii="宋体" w:hAnsi="宋体" w:cs="Times New Roman"/>
                <w:color w:val="auto"/>
                <w:sz w:val="21"/>
                <w:szCs w:val="21"/>
              </w:rPr>
              <w:t>合格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30" w:type="dxa"/>
            <w:bottom w:w="0" w:type="dxa"/>
            <w:right w:w="30" w:type="dxa"/>
          </w:tblCellMar>
        </w:tblPrEx>
        <w:trPr>
          <w:trHeight w:val="275" w:hRule="atLeast"/>
          <w:jc w:val="center"/>
        </w:trPr>
        <w:tc>
          <w:tcPr>
            <w:tcW w:w="1006" w:type="dxa"/>
            <w:vMerge w:val="continue"/>
            <w:vAlign w:val="center"/>
          </w:tcPr>
          <w:p>
            <w:pPr>
              <w:widowControl/>
              <w:spacing w:line="240" w:lineRule="auto"/>
              <w:ind w:firstLine="0" w:firstLineChars="0"/>
              <w:jc w:val="left"/>
              <w:rPr>
                <w:rFonts w:cs="Times New Roman"/>
                <w:color w:val="auto"/>
                <w:kern w:val="0"/>
                <w:sz w:val="21"/>
                <w:szCs w:val="21"/>
              </w:rPr>
            </w:pPr>
          </w:p>
        </w:tc>
        <w:tc>
          <w:tcPr>
            <w:tcW w:w="1110" w:type="dxa"/>
            <w:vMerge w:val="restart"/>
            <w:vAlign w:val="center"/>
          </w:tcPr>
          <w:p>
            <w:pPr>
              <w:spacing w:line="240" w:lineRule="auto"/>
              <w:ind w:firstLine="0" w:firstLineChars="0"/>
              <w:jc w:val="center"/>
              <w:rPr>
                <w:rFonts w:cs="Times New Roman"/>
                <w:color w:val="auto"/>
                <w:sz w:val="21"/>
                <w:szCs w:val="21"/>
              </w:rPr>
            </w:pPr>
            <w:r>
              <w:rPr>
                <w:rFonts w:cs="Times New Roman"/>
                <w:color w:val="auto"/>
                <w:sz w:val="21"/>
                <w:szCs w:val="21"/>
              </w:rPr>
              <w:t>KB-6120</w:t>
            </w:r>
          </w:p>
        </w:tc>
        <w:tc>
          <w:tcPr>
            <w:tcW w:w="1225" w:type="dxa"/>
            <w:vMerge w:val="restart"/>
            <w:vAlign w:val="center"/>
          </w:tcPr>
          <w:p>
            <w:pPr>
              <w:spacing w:line="240" w:lineRule="auto"/>
              <w:ind w:firstLine="0" w:firstLineChars="0"/>
              <w:jc w:val="center"/>
              <w:rPr>
                <w:rFonts w:cs="Times New Roman"/>
                <w:color w:val="auto"/>
                <w:sz w:val="21"/>
                <w:szCs w:val="21"/>
              </w:rPr>
            </w:pPr>
            <w:r>
              <w:rPr>
                <w:rFonts w:cs="Times New Roman"/>
                <w:color w:val="auto"/>
                <w:sz w:val="21"/>
                <w:szCs w:val="21"/>
              </w:rPr>
              <w:t>MMGR-XC-023-05</w:t>
            </w:r>
          </w:p>
        </w:tc>
        <w:tc>
          <w:tcPr>
            <w:tcW w:w="908" w:type="dxa"/>
            <w:vMerge w:val="restart"/>
            <w:vAlign w:val="center"/>
          </w:tcPr>
          <w:p>
            <w:pPr>
              <w:autoSpaceDE w:val="0"/>
              <w:autoSpaceDN w:val="0"/>
              <w:adjustRightInd w:val="0"/>
              <w:spacing w:before="31" w:beforeLines="10" w:after="31" w:afterLines="10" w:line="288" w:lineRule="auto"/>
              <w:ind w:firstLine="0" w:firstLineChars="0"/>
              <w:jc w:val="center"/>
              <w:rPr>
                <w:rFonts w:cs="Times New Roman"/>
                <w:color w:val="auto"/>
                <w:sz w:val="21"/>
                <w:szCs w:val="21"/>
              </w:rPr>
            </w:pPr>
            <w:r>
              <w:rPr>
                <w:rFonts w:ascii="宋体" w:hAnsi="宋体" w:cs="Times New Roman"/>
                <w:color w:val="auto"/>
                <w:sz w:val="21"/>
                <w:szCs w:val="21"/>
              </w:rPr>
              <w:t>流量校准（</w:t>
            </w:r>
            <w:r>
              <w:rPr>
                <w:rFonts w:cs="Times New Roman"/>
                <w:color w:val="auto"/>
                <w:sz w:val="21"/>
                <w:szCs w:val="21"/>
              </w:rPr>
              <w:t>L/min)</w:t>
            </w:r>
          </w:p>
        </w:tc>
        <w:tc>
          <w:tcPr>
            <w:tcW w:w="612"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ascii="宋体" w:hAnsi="宋体" w:cs="Times New Roman"/>
                <w:color w:val="auto"/>
                <w:sz w:val="21"/>
                <w:szCs w:val="21"/>
              </w:rPr>
              <w:t>主</w:t>
            </w:r>
          </w:p>
        </w:tc>
        <w:tc>
          <w:tcPr>
            <w:tcW w:w="442"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cs="Times New Roman"/>
                <w:color w:val="auto"/>
                <w:sz w:val="21"/>
                <w:szCs w:val="21"/>
              </w:rPr>
              <w:t>100</w:t>
            </w:r>
          </w:p>
        </w:tc>
        <w:tc>
          <w:tcPr>
            <w:tcW w:w="564"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99.4</w:t>
            </w:r>
          </w:p>
        </w:tc>
        <w:tc>
          <w:tcPr>
            <w:tcW w:w="635"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-0.6</w:t>
            </w:r>
          </w:p>
        </w:tc>
        <w:tc>
          <w:tcPr>
            <w:tcW w:w="550"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ascii="宋体" w:hAnsi="宋体" w:cs="Times New Roman"/>
                <w:color w:val="auto"/>
                <w:sz w:val="21"/>
                <w:szCs w:val="21"/>
              </w:rPr>
              <w:t>合格</w:t>
            </w:r>
          </w:p>
        </w:tc>
        <w:tc>
          <w:tcPr>
            <w:tcW w:w="449"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99.5</w:t>
            </w:r>
          </w:p>
        </w:tc>
        <w:tc>
          <w:tcPr>
            <w:tcW w:w="731"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-0.5</w:t>
            </w:r>
          </w:p>
        </w:tc>
        <w:tc>
          <w:tcPr>
            <w:tcW w:w="494"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ascii="宋体" w:hAnsi="宋体" w:cs="Times New Roman"/>
                <w:color w:val="auto"/>
                <w:sz w:val="21"/>
                <w:szCs w:val="21"/>
              </w:rPr>
              <w:t>合格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30" w:type="dxa"/>
            <w:bottom w:w="0" w:type="dxa"/>
            <w:right w:w="30" w:type="dxa"/>
          </w:tblCellMar>
        </w:tblPrEx>
        <w:trPr>
          <w:trHeight w:val="275" w:hRule="atLeast"/>
          <w:jc w:val="center"/>
        </w:trPr>
        <w:tc>
          <w:tcPr>
            <w:tcW w:w="1006" w:type="dxa"/>
            <w:vMerge w:val="continue"/>
            <w:vAlign w:val="center"/>
          </w:tcPr>
          <w:p>
            <w:pPr>
              <w:widowControl/>
              <w:spacing w:line="240" w:lineRule="auto"/>
              <w:ind w:firstLine="0" w:firstLineChars="0"/>
              <w:jc w:val="left"/>
              <w:rPr>
                <w:rFonts w:cs="Times New Roman"/>
                <w:color w:val="auto"/>
                <w:kern w:val="0"/>
                <w:sz w:val="21"/>
                <w:szCs w:val="21"/>
              </w:rPr>
            </w:pPr>
          </w:p>
        </w:tc>
        <w:tc>
          <w:tcPr>
            <w:tcW w:w="1110" w:type="dxa"/>
            <w:vMerge w:val="continue"/>
            <w:vAlign w:val="center"/>
          </w:tcPr>
          <w:p>
            <w:pPr>
              <w:widowControl/>
              <w:spacing w:line="240" w:lineRule="auto"/>
              <w:ind w:firstLine="0" w:firstLineChars="0"/>
              <w:jc w:val="left"/>
              <w:rPr>
                <w:rFonts w:cs="Times New Roman"/>
                <w:color w:val="auto"/>
                <w:sz w:val="21"/>
                <w:szCs w:val="21"/>
              </w:rPr>
            </w:pPr>
          </w:p>
        </w:tc>
        <w:tc>
          <w:tcPr>
            <w:tcW w:w="1225" w:type="dxa"/>
            <w:vMerge w:val="continue"/>
            <w:vAlign w:val="center"/>
          </w:tcPr>
          <w:p>
            <w:pPr>
              <w:widowControl/>
              <w:spacing w:line="240" w:lineRule="auto"/>
              <w:ind w:firstLine="0" w:firstLineChars="0"/>
              <w:jc w:val="left"/>
              <w:rPr>
                <w:rFonts w:cs="Times New Roman"/>
                <w:color w:val="auto"/>
                <w:sz w:val="21"/>
                <w:szCs w:val="21"/>
              </w:rPr>
            </w:pPr>
          </w:p>
        </w:tc>
        <w:tc>
          <w:tcPr>
            <w:tcW w:w="908" w:type="dxa"/>
            <w:vMerge w:val="continue"/>
            <w:vAlign w:val="center"/>
          </w:tcPr>
          <w:p>
            <w:pPr>
              <w:widowControl/>
              <w:spacing w:line="240" w:lineRule="auto"/>
              <w:ind w:firstLine="0" w:firstLineChars="0"/>
              <w:jc w:val="left"/>
              <w:rPr>
                <w:rFonts w:cs="Times New Roman"/>
                <w:color w:val="auto"/>
                <w:sz w:val="21"/>
                <w:szCs w:val="21"/>
              </w:rPr>
            </w:pPr>
          </w:p>
        </w:tc>
        <w:tc>
          <w:tcPr>
            <w:tcW w:w="612"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cs="Times New Roman"/>
                <w:color w:val="auto"/>
                <w:sz w:val="21"/>
                <w:szCs w:val="21"/>
              </w:rPr>
              <w:t>A</w:t>
            </w:r>
          </w:p>
        </w:tc>
        <w:tc>
          <w:tcPr>
            <w:tcW w:w="442"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cs="Times New Roman"/>
                <w:color w:val="auto"/>
                <w:sz w:val="21"/>
                <w:szCs w:val="21"/>
              </w:rPr>
              <w:t>1</w:t>
            </w:r>
          </w:p>
        </w:tc>
        <w:tc>
          <w:tcPr>
            <w:tcW w:w="564"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0.99</w:t>
            </w:r>
          </w:p>
        </w:tc>
        <w:tc>
          <w:tcPr>
            <w:tcW w:w="635"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-1</w:t>
            </w:r>
          </w:p>
        </w:tc>
        <w:tc>
          <w:tcPr>
            <w:tcW w:w="550"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ascii="宋体" w:hAnsi="宋体" w:cs="Times New Roman"/>
                <w:color w:val="auto"/>
                <w:sz w:val="21"/>
                <w:szCs w:val="21"/>
              </w:rPr>
              <w:t>合格</w:t>
            </w:r>
          </w:p>
        </w:tc>
        <w:tc>
          <w:tcPr>
            <w:tcW w:w="449"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0.99</w:t>
            </w:r>
          </w:p>
        </w:tc>
        <w:tc>
          <w:tcPr>
            <w:tcW w:w="731"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-1</w:t>
            </w:r>
          </w:p>
        </w:tc>
        <w:tc>
          <w:tcPr>
            <w:tcW w:w="494"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ascii="宋体" w:hAnsi="宋体" w:cs="Times New Roman"/>
                <w:color w:val="auto"/>
                <w:sz w:val="21"/>
                <w:szCs w:val="21"/>
              </w:rPr>
              <w:t>合格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30" w:type="dxa"/>
            <w:bottom w:w="0" w:type="dxa"/>
            <w:right w:w="30" w:type="dxa"/>
          </w:tblCellMar>
        </w:tblPrEx>
        <w:trPr>
          <w:trHeight w:val="350" w:hRule="atLeast"/>
          <w:jc w:val="center"/>
        </w:trPr>
        <w:tc>
          <w:tcPr>
            <w:tcW w:w="1006" w:type="dxa"/>
            <w:vMerge w:val="continue"/>
            <w:vAlign w:val="center"/>
          </w:tcPr>
          <w:p>
            <w:pPr>
              <w:widowControl/>
              <w:spacing w:line="240" w:lineRule="auto"/>
              <w:ind w:firstLine="0" w:firstLineChars="0"/>
              <w:jc w:val="left"/>
              <w:rPr>
                <w:rFonts w:cs="Times New Roman"/>
                <w:color w:val="auto"/>
                <w:kern w:val="0"/>
                <w:sz w:val="21"/>
                <w:szCs w:val="21"/>
              </w:rPr>
            </w:pPr>
          </w:p>
        </w:tc>
        <w:tc>
          <w:tcPr>
            <w:tcW w:w="1110" w:type="dxa"/>
            <w:vMerge w:val="restart"/>
            <w:vAlign w:val="center"/>
          </w:tcPr>
          <w:p>
            <w:pPr>
              <w:spacing w:line="240" w:lineRule="auto"/>
              <w:ind w:firstLine="0" w:firstLineChars="0"/>
              <w:jc w:val="center"/>
              <w:rPr>
                <w:rFonts w:cs="Times New Roman"/>
                <w:color w:val="auto"/>
                <w:sz w:val="21"/>
                <w:szCs w:val="21"/>
              </w:rPr>
            </w:pPr>
            <w:r>
              <w:rPr>
                <w:rFonts w:cs="Times New Roman"/>
                <w:color w:val="auto"/>
                <w:sz w:val="21"/>
                <w:szCs w:val="21"/>
              </w:rPr>
              <w:t>KB-6120</w:t>
            </w:r>
          </w:p>
        </w:tc>
        <w:tc>
          <w:tcPr>
            <w:tcW w:w="1225" w:type="dxa"/>
            <w:vMerge w:val="restart"/>
            <w:vAlign w:val="center"/>
          </w:tcPr>
          <w:p>
            <w:pPr>
              <w:spacing w:line="240" w:lineRule="auto"/>
              <w:ind w:firstLine="0" w:firstLineChars="0"/>
              <w:jc w:val="center"/>
              <w:rPr>
                <w:rFonts w:cs="Times New Roman"/>
                <w:color w:val="auto"/>
                <w:sz w:val="21"/>
                <w:szCs w:val="21"/>
              </w:rPr>
            </w:pPr>
            <w:r>
              <w:rPr>
                <w:rFonts w:cs="Times New Roman"/>
                <w:color w:val="auto"/>
                <w:sz w:val="21"/>
                <w:szCs w:val="21"/>
              </w:rPr>
              <w:t>MMGR-XC-023-06</w:t>
            </w:r>
          </w:p>
        </w:tc>
        <w:tc>
          <w:tcPr>
            <w:tcW w:w="908" w:type="dxa"/>
            <w:vMerge w:val="restart"/>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ascii="宋体" w:hAnsi="宋体" w:cs="Times New Roman"/>
                <w:color w:val="auto"/>
                <w:sz w:val="21"/>
                <w:szCs w:val="21"/>
              </w:rPr>
              <w:t>流量校准（</w:t>
            </w:r>
            <w:r>
              <w:rPr>
                <w:rFonts w:cs="Times New Roman"/>
                <w:color w:val="auto"/>
                <w:sz w:val="21"/>
                <w:szCs w:val="21"/>
              </w:rPr>
              <w:t>L/min)</w:t>
            </w:r>
          </w:p>
        </w:tc>
        <w:tc>
          <w:tcPr>
            <w:tcW w:w="612"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ascii="宋体" w:hAnsi="宋体" w:cs="Times New Roman"/>
                <w:color w:val="auto"/>
                <w:sz w:val="21"/>
                <w:szCs w:val="21"/>
              </w:rPr>
              <w:t>主</w:t>
            </w:r>
          </w:p>
        </w:tc>
        <w:tc>
          <w:tcPr>
            <w:tcW w:w="442"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cs="Times New Roman"/>
                <w:color w:val="auto"/>
                <w:sz w:val="21"/>
                <w:szCs w:val="21"/>
              </w:rPr>
              <w:t>100</w:t>
            </w:r>
          </w:p>
        </w:tc>
        <w:tc>
          <w:tcPr>
            <w:tcW w:w="564"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100.3</w:t>
            </w:r>
          </w:p>
        </w:tc>
        <w:tc>
          <w:tcPr>
            <w:tcW w:w="635"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0.3</w:t>
            </w:r>
          </w:p>
        </w:tc>
        <w:tc>
          <w:tcPr>
            <w:tcW w:w="550"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ascii="宋体" w:hAnsi="宋体" w:cs="Times New Roman"/>
                <w:color w:val="auto"/>
                <w:sz w:val="21"/>
                <w:szCs w:val="21"/>
              </w:rPr>
              <w:t>合格</w:t>
            </w:r>
          </w:p>
        </w:tc>
        <w:tc>
          <w:tcPr>
            <w:tcW w:w="449"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100.5</w:t>
            </w:r>
          </w:p>
        </w:tc>
        <w:tc>
          <w:tcPr>
            <w:tcW w:w="731"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0.5</w:t>
            </w:r>
          </w:p>
        </w:tc>
        <w:tc>
          <w:tcPr>
            <w:tcW w:w="494"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ascii="宋体" w:hAnsi="宋体" w:cs="Times New Roman"/>
                <w:color w:val="auto"/>
                <w:sz w:val="21"/>
                <w:szCs w:val="21"/>
              </w:rPr>
              <w:t>合格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30" w:type="dxa"/>
            <w:bottom w:w="0" w:type="dxa"/>
            <w:right w:w="30" w:type="dxa"/>
          </w:tblCellMar>
        </w:tblPrEx>
        <w:trPr>
          <w:trHeight w:val="350" w:hRule="atLeast"/>
          <w:jc w:val="center"/>
        </w:trPr>
        <w:tc>
          <w:tcPr>
            <w:tcW w:w="1006" w:type="dxa"/>
            <w:vMerge w:val="continue"/>
            <w:vAlign w:val="center"/>
          </w:tcPr>
          <w:p>
            <w:pPr>
              <w:widowControl/>
              <w:spacing w:line="240" w:lineRule="auto"/>
              <w:ind w:firstLine="0" w:firstLineChars="0"/>
              <w:jc w:val="left"/>
              <w:rPr>
                <w:rFonts w:cs="Times New Roman"/>
                <w:color w:val="auto"/>
                <w:kern w:val="0"/>
                <w:sz w:val="21"/>
                <w:szCs w:val="21"/>
              </w:rPr>
            </w:pPr>
          </w:p>
        </w:tc>
        <w:tc>
          <w:tcPr>
            <w:tcW w:w="1110" w:type="dxa"/>
            <w:vMerge w:val="continue"/>
            <w:vAlign w:val="center"/>
          </w:tcPr>
          <w:p>
            <w:pPr>
              <w:widowControl/>
              <w:spacing w:line="240" w:lineRule="auto"/>
              <w:ind w:firstLine="0" w:firstLineChars="0"/>
              <w:jc w:val="left"/>
              <w:rPr>
                <w:rFonts w:cs="Times New Roman"/>
                <w:color w:val="auto"/>
                <w:sz w:val="21"/>
                <w:szCs w:val="21"/>
              </w:rPr>
            </w:pPr>
          </w:p>
        </w:tc>
        <w:tc>
          <w:tcPr>
            <w:tcW w:w="1225" w:type="dxa"/>
            <w:vMerge w:val="continue"/>
            <w:vAlign w:val="center"/>
          </w:tcPr>
          <w:p>
            <w:pPr>
              <w:widowControl/>
              <w:spacing w:line="240" w:lineRule="auto"/>
              <w:ind w:firstLine="0" w:firstLineChars="0"/>
              <w:jc w:val="left"/>
              <w:rPr>
                <w:rFonts w:cs="Times New Roman"/>
                <w:color w:val="auto"/>
                <w:sz w:val="21"/>
                <w:szCs w:val="21"/>
              </w:rPr>
            </w:pPr>
          </w:p>
        </w:tc>
        <w:tc>
          <w:tcPr>
            <w:tcW w:w="908" w:type="dxa"/>
            <w:vMerge w:val="continue"/>
            <w:vAlign w:val="center"/>
          </w:tcPr>
          <w:p>
            <w:pPr>
              <w:widowControl/>
              <w:spacing w:line="240" w:lineRule="auto"/>
              <w:ind w:firstLine="0" w:firstLineChars="0"/>
              <w:jc w:val="left"/>
              <w:rPr>
                <w:rFonts w:cs="Times New Roman"/>
                <w:color w:val="auto"/>
                <w:sz w:val="21"/>
                <w:szCs w:val="21"/>
              </w:rPr>
            </w:pPr>
          </w:p>
        </w:tc>
        <w:tc>
          <w:tcPr>
            <w:tcW w:w="612"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cs="Times New Roman"/>
                <w:color w:val="auto"/>
                <w:sz w:val="21"/>
                <w:szCs w:val="21"/>
              </w:rPr>
              <w:t>A</w:t>
            </w:r>
          </w:p>
        </w:tc>
        <w:tc>
          <w:tcPr>
            <w:tcW w:w="442"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cs="Times New Roman"/>
                <w:color w:val="auto"/>
                <w:sz w:val="21"/>
                <w:szCs w:val="21"/>
              </w:rPr>
              <w:t>1</w:t>
            </w:r>
          </w:p>
        </w:tc>
        <w:tc>
          <w:tcPr>
            <w:tcW w:w="564"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0.99</w:t>
            </w:r>
          </w:p>
        </w:tc>
        <w:tc>
          <w:tcPr>
            <w:tcW w:w="635"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-1</w:t>
            </w:r>
          </w:p>
        </w:tc>
        <w:tc>
          <w:tcPr>
            <w:tcW w:w="550"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ascii="宋体" w:hAnsi="宋体" w:cs="Times New Roman"/>
                <w:color w:val="auto"/>
                <w:sz w:val="21"/>
                <w:szCs w:val="21"/>
              </w:rPr>
              <w:t>合格</w:t>
            </w:r>
          </w:p>
        </w:tc>
        <w:tc>
          <w:tcPr>
            <w:tcW w:w="449"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0.98</w:t>
            </w:r>
          </w:p>
        </w:tc>
        <w:tc>
          <w:tcPr>
            <w:tcW w:w="731"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-2</w:t>
            </w:r>
          </w:p>
        </w:tc>
        <w:tc>
          <w:tcPr>
            <w:tcW w:w="494"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ascii="宋体" w:hAnsi="宋体" w:cs="Times New Roman"/>
                <w:color w:val="auto"/>
                <w:sz w:val="21"/>
                <w:szCs w:val="21"/>
              </w:rPr>
              <w:t>合格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30" w:type="dxa"/>
            <w:bottom w:w="0" w:type="dxa"/>
            <w:right w:w="30" w:type="dxa"/>
          </w:tblCellMar>
        </w:tblPrEx>
        <w:trPr>
          <w:trHeight w:val="392" w:hRule="atLeast"/>
          <w:jc w:val="center"/>
        </w:trPr>
        <w:tc>
          <w:tcPr>
            <w:tcW w:w="1006" w:type="dxa"/>
            <w:vMerge w:val="continue"/>
            <w:vAlign w:val="center"/>
          </w:tcPr>
          <w:p>
            <w:pPr>
              <w:widowControl/>
              <w:spacing w:line="240" w:lineRule="auto"/>
              <w:ind w:firstLine="0" w:firstLineChars="0"/>
              <w:jc w:val="left"/>
              <w:rPr>
                <w:rFonts w:cs="Times New Roman"/>
                <w:color w:val="auto"/>
                <w:kern w:val="0"/>
                <w:sz w:val="21"/>
                <w:szCs w:val="21"/>
              </w:rPr>
            </w:pPr>
          </w:p>
        </w:tc>
        <w:tc>
          <w:tcPr>
            <w:tcW w:w="1110" w:type="dxa"/>
            <w:vAlign w:val="center"/>
          </w:tcPr>
          <w:p>
            <w:pPr>
              <w:spacing w:line="240" w:lineRule="auto"/>
              <w:ind w:firstLine="0" w:firstLineChars="0"/>
              <w:jc w:val="center"/>
              <w:rPr>
                <w:rFonts w:cs="Times New Roman"/>
                <w:color w:val="auto"/>
                <w:sz w:val="21"/>
                <w:szCs w:val="21"/>
              </w:rPr>
            </w:pPr>
            <w:r>
              <w:rPr>
                <w:rFonts w:cs="Times New Roman"/>
                <w:color w:val="auto"/>
                <w:sz w:val="21"/>
                <w:szCs w:val="21"/>
              </w:rPr>
              <w:t>MH3300</w:t>
            </w:r>
          </w:p>
        </w:tc>
        <w:tc>
          <w:tcPr>
            <w:tcW w:w="1225" w:type="dxa"/>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MMGR-XC-019-01</w:t>
            </w:r>
          </w:p>
        </w:tc>
        <w:tc>
          <w:tcPr>
            <w:tcW w:w="908" w:type="dxa"/>
            <w:vAlign w:val="center"/>
          </w:tcPr>
          <w:p>
            <w:pPr>
              <w:autoSpaceDE w:val="0"/>
              <w:autoSpaceDN w:val="0"/>
              <w:adjustRightInd w:val="0"/>
              <w:spacing w:before="31" w:beforeLines="10" w:after="31" w:afterLines="10" w:line="280" w:lineRule="exact"/>
              <w:ind w:firstLine="0" w:firstLineChars="0"/>
              <w:jc w:val="center"/>
              <w:rPr>
                <w:rFonts w:cs="Times New Roman"/>
                <w:color w:val="auto"/>
                <w:sz w:val="21"/>
                <w:szCs w:val="21"/>
              </w:rPr>
            </w:pPr>
            <w:r>
              <w:rPr>
                <w:rFonts w:ascii="宋体" w:hAnsi="宋体" w:cs="Times New Roman"/>
                <w:color w:val="auto"/>
                <w:sz w:val="21"/>
                <w:szCs w:val="21"/>
              </w:rPr>
              <w:t>流量校准（</w:t>
            </w:r>
            <w:r>
              <w:rPr>
                <w:rFonts w:cs="Times New Roman"/>
                <w:color w:val="auto"/>
                <w:sz w:val="21"/>
                <w:szCs w:val="21"/>
              </w:rPr>
              <w:t>L/min)</w:t>
            </w:r>
          </w:p>
        </w:tc>
        <w:tc>
          <w:tcPr>
            <w:tcW w:w="612"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ascii="宋体" w:hAnsi="宋体" w:cs="Times New Roman"/>
                <w:color w:val="auto"/>
                <w:sz w:val="21"/>
                <w:szCs w:val="21"/>
              </w:rPr>
              <w:t>主</w:t>
            </w:r>
          </w:p>
        </w:tc>
        <w:tc>
          <w:tcPr>
            <w:tcW w:w="442"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cs="Times New Roman"/>
                <w:color w:val="auto"/>
                <w:sz w:val="21"/>
                <w:szCs w:val="21"/>
              </w:rPr>
              <w:t>30</w:t>
            </w:r>
          </w:p>
        </w:tc>
        <w:tc>
          <w:tcPr>
            <w:tcW w:w="564"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29.7</w:t>
            </w:r>
          </w:p>
        </w:tc>
        <w:tc>
          <w:tcPr>
            <w:tcW w:w="635"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-1</w:t>
            </w:r>
          </w:p>
        </w:tc>
        <w:tc>
          <w:tcPr>
            <w:tcW w:w="550"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ascii="宋体" w:hAnsi="宋体" w:cs="Times New Roman"/>
                <w:color w:val="auto"/>
                <w:sz w:val="21"/>
                <w:szCs w:val="21"/>
              </w:rPr>
              <w:t>合格</w:t>
            </w:r>
          </w:p>
        </w:tc>
        <w:tc>
          <w:tcPr>
            <w:tcW w:w="449"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29.7</w:t>
            </w:r>
          </w:p>
        </w:tc>
        <w:tc>
          <w:tcPr>
            <w:tcW w:w="731" w:type="dxa"/>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-1</w:t>
            </w:r>
          </w:p>
        </w:tc>
        <w:tc>
          <w:tcPr>
            <w:tcW w:w="494" w:type="dxa"/>
            <w:vAlign w:val="center"/>
          </w:tcPr>
          <w:p>
            <w:pPr>
              <w:autoSpaceDE w:val="0"/>
              <w:autoSpaceDN w:val="0"/>
              <w:adjustRightInd w:val="0"/>
              <w:spacing w:before="31" w:beforeLines="10" w:after="31" w:afterLines="10" w:line="240" w:lineRule="auto"/>
              <w:ind w:firstLine="0" w:firstLineChars="0"/>
              <w:jc w:val="center"/>
              <w:rPr>
                <w:rFonts w:cs="Times New Roman"/>
                <w:color w:val="auto"/>
                <w:sz w:val="21"/>
                <w:szCs w:val="21"/>
              </w:rPr>
            </w:pPr>
            <w:r>
              <w:rPr>
                <w:rFonts w:ascii="宋体" w:hAnsi="宋体" w:cs="Times New Roman"/>
                <w:color w:val="auto"/>
                <w:sz w:val="21"/>
                <w:szCs w:val="21"/>
              </w:rPr>
              <w:t>合格</w:t>
            </w:r>
          </w:p>
        </w:tc>
      </w:tr>
    </w:tbl>
    <w:p>
      <w:pPr>
        <w:spacing w:line="240" w:lineRule="auto"/>
        <w:ind w:firstLine="0" w:firstLineChars="0"/>
        <w:jc w:val="center"/>
        <w:rPr>
          <w:rFonts w:cs="Times New Roman"/>
          <w:b/>
          <w:bCs/>
          <w:color w:val="auto"/>
          <w:sz w:val="21"/>
          <w:szCs w:val="21"/>
          <w:highlight w:val="yellow"/>
        </w:rPr>
      </w:pPr>
    </w:p>
    <w:p>
      <w:pPr>
        <w:spacing w:line="240" w:lineRule="auto"/>
        <w:ind w:firstLine="0" w:firstLineChars="0"/>
        <w:jc w:val="center"/>
        <w:rPr>
          <w:rFonts w:cs="Times New Roman"/>
          <w:b/>
          <w:bCs/>
          <w:color w:val="auto"/>
          <w:sz w:val="21"/>
          <w:szCs w:val="21"/>
        </w:rPr>
      </w:pPr>
      <w:r>
        <w:rPr>
          <w:rFonts w:cs="Times New Roman"/>
          <w:b/>
          <w:bCs/>
          <w:color w:val="auto"/>
          <w:sz w:val="21"/>
          <w:szCs w:val="21"/>
        </w:rPr>
        <w:t>表</w:t>
      </w:r>
      <w:r>
        <w:rPr>
          <w:rFonts w:hint="eastAsia" w:cs="Times New Roman"/>
          <w:b/>
          <w:bCs/>
          <w:color w:val="auto"/>
          <w:sz w:val="21"/>
          <w:szCs w:val="21"/>
        </w:rPr>
        <w:t>8.3-3  噪声检测质控结果表</w:t>
      </w:r>
    </w:p>
    <w:tbl>
      <w:tblPr>
        <w:tblStyle w:val="24"/>
        <w:tblW w:w="8674"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30" w:type="dxa"/>
          <w:bottom w:w="0" w:type="dxa"/>
          <w:right w:w="30" w:type="dxa"/>
        </w:tblCellMar>
      </w:tblPr>
      <w:tblGrid>
        <w:gridCol w:w="1179"/>
        <w:gridCol w:w="942"/>
        <w:gridCol w:w="1752"/>
        <w:gridCol w:w="597"/>
        <w:gridCol w:w="479"/>
        <w:gridCol w:w="568"/>
        <w:gridCol w:w="568"/>
        <w:gridCol w:w="571"/>
        <w:gridCol w:w="568"/>
        <w:gridCol w:w="568"/>
        <w:gridCol w:w="8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30" w:type="dxa"/>
            <w:bottom w:w="0" w:type="dxa"/>
            <w:right w:w="30" w:type="dxa"/>
          </w:tblCellMar>
        </w:tblPrEx>
        <w:trPr>
          <w:cantSplit/>
          <w:trHeight w:val="363" w:hRule="atLeast"/>
          <w:jc w:val="center"/>
        </w:trPr>
        <w:tc>
          <w:tcPr>
            <w:tcW w:w="1179" w:type="dxa"/>
            <w:vMerge w:val="restart"/>
            <w:vAlign w:val="center"/>
          </w:tcPr>
          <w:p>
            <w:pPr>
              <w:autoSpaceDE w:val="0"/>
              <w:autoSpaceDN w:val="0"/>
              <w:adjustRightInd w:val="0"/>
              <w:spacing w:before="31" w:beforeLines="10" w:after="31" w:afterLines="10" w:line="288" w:lineRule="auto"/>
              <w:ind w:firstLine="482" w:firstLineChars="0"/>
              <w:jc w:val="center"/>
              <w:rPr>
                <w:rFonts w:cs="Times New Roman"/>
                <w:b/>
                <w:bCs/>
                <w:color w:val="auto"/>
                <w:sz w:val="21"/>
                <w:szCs w:val="21"/>
              </w:rPr>
            </w:pPr>
            <w:r>
              <w:rPr>
                <w:rFonts w:ascii="宋体" w:hAnsi="宋体" w:cs="Times New Roman"/>
                <w:b/>
                <w:bCs/>
                <w:color w:val="auto"/>
                <w:sz w:val="21"/>
                <w:szCs w:val="21"/>
              </w:rPr>
              <w:t>日期</w:t>
            </w:r>
          </w:p>
        </w:tc>
        <w:tc>
          <w:tcPr>
            <w:tcW w:w="942" w:type="dxa"/>
            <w:vMerge w:val="restart"/>
            <w:vAlign w:val="center"/>
          </w:tcPr>
          <w:p>
            <w:pPr>
              <w:autoSpaceDE w:val="0"/>
              <w:autoSpaceDN w:val="0"/>
              <w:adjustRightInd w:val="0"/>
              <w:spacing w:before="31" w:beforeLines="10" w:after="31" w:afterLines="10" w:line="288" w:lineRule="auto"/>
              <w:ind w:firstLine="0" w:firstLineChars="0"/>
              <w:jc w:val="center"/>
              <w:rPr>
                <w:rFonts w:cs="Times New Roman"/>
                <w:b/>
                <w:bCs/>
                <w:color w:val="auto"/>
                <w:sz w:val="21"/>
                <w:szCs w:val="21"/>
              </w:rPr>
            </w:pPr>
            <w:r>
              <w:rPr>
                <w:rFonts w:ascii="宋体" w:hAnsi="宋体" w:cs="Times New Roman"/>
                <w:b/>
                <w:bCs/>
                <w:color w:val="auto"/>
                <w:sz w:val="21"/>
                <w:szCs w:val="21"/>
              </w:rPr>
              <w:t>仪器型号</w:t>
            </w:r>
          </w:p>
        </w:tc>
        <w:tc>
          <w:tcPr>
            <w:tcW w:w="1752" w:type="dxa"/>
            <w:vMerge w:val="restart"/>
            <w:vAlign w:val="center"/>
          </w:tcPr>
          <w:p>
            <w:pPr>
              <w:autoSpaceDE w:val="0"/>
              <w:autoSpaceDN w:val="0"/>
              <w:adjustRightInd w:val="0"/>
              <w:spacing w:before="31" w:beforeLines="10" w:after="31" w:afterLines="10" w:line="288" w:lineRule="auto"/>
              <w:ind w:firstLine="0" w:firstLineChars="0"/>
              <w:jc w:val="center"/>
              <w:rPr>
                <w:rFonts w:cs="Times New Roman"/>
                <w:b/>
                <w:bCs/>
                <w:color w:val="auto"/>
                <w:sz w:val="21"/>
                <w:szCs w:val="21"/>
              </w:rPr>
            </w:pPr>
            <w:r>
              <w:rPr>
                <w:rFonts w:ascii="宋体" w:hAnsi="宋体" w:cs="Times New Roman"/>
                <w:b/>
                <w:bCs/>
                <w:color w:val="auto"/>
                <w:sz w:val="21"/>
                <w:szCs w:val="21"/>
              </w:rPr>
              <w:t>仪器编号</w:t>
            </w:r>
          </w:p>
        </w:tc>
        <w:tc>
          <w:tcPr>
            <w:tcW w:w="597" w:type="dxa"/>
            <w:vMerge w:val="restart"/>
            <w:vAlign w:val="center"/>
          </w:tcPr>
          <w:p>
            <w:pPr>
              <w:autoSpaceDE w:val="0"/>
              <w:autoSpaceDN w:val="0"/>
              <w:adjustRightInd w:val="0"/>
              <w:spacing w:before="31" w:beforeLines="10" w:after="31" w:afterLines="10" w:line="288" w:lineRule="auto"/>
              <w:ind w:firstLine="0" w:firstLineChars="0"/>
              <w:jc w:val="center"/>
              <w:rPr>
                <w:rFonts w:cs="Times New Roman"/>
                <w:b/>
                <w:bCs/>
                <w:color w:val="auto"/>
                <w:sz w:val="21"/>
                <w:szCs w:val="21"/>
              </w:rPr>
            </w:pPr>
            <w:r>
              <w:rPr>
                <w:rFonts w:ascii="宋体" w:hAnsi="宋体" w:cs="Times New Roman"/>
                <w:b/>
                <w:bCs/>
                <w:color w:val="auto"/>
                <w:sz w:val="21"/>
                <w:szCs w:val="21"/>
              </w:rPr>
              <w:t>单位</w:t>
            </w:r>
          </w:p>
        </w:tc>
        <w:tc>
          <w:tcPr>
            <w:tcW w:w="479" w:type="dxa"/>
            <w:vMerge w:val="restart"/>
            <w:vAlign w:val="center"/>
          </w:tcPr>
          <w:p>
            <w:pPr>
              <w:autoSpaceDE w:val="0"/>
              <w:autoSpaceDN w:val="0"/>
              <w:adjustRightInd w:val="0"/>
              <w:spacing w:before="31" w:beforeLines="10" w:after="31" w:afterLines="10" w:line="288" w:lineRule="auto"/>
              <w:ind w:firstLine="0" w:firstLineChars="0"/>
              <w:jc w:val="center"/>
              <w:rPr>
                <w:rFonts w:cs="Times New Roman"/>
                <w:b/>
                <w:bCs/>
                <w:color w:val="auto"/>
                <w:sz w:val="21"/>
                <w:szCs w:val="21"/>
              </w:rPr>
            </w:pPr>
            <w:r>
              <w:rPr>
                <w:rFonts w:ascii="宋体" w:hAnsi="宋体" w:cs="Times New Roman"/>
                <w:b/>
                <w:bCs/>
                <w:color w:val="auto"/>
                <w:sz w:val="21"/>
                <w:szCs w:val="21"/>
              </w:rPr>
              <w:t>标准值</w:t>
            </w:r>
          </w:p>
        </w:tc>
        <w:tc>
          <w:tcPr>
            <w:tcW w:w="1707" w:type="dxa"/>
            <w:gridSpan w:val="3"/>
            <w:vAlign w:val="center"/>
          </w:tcPr>
          <w:p>
            <w:pPr>
              <w:autoSpaceDE w:val="0"/>
              <w:autoSpaceDN w:val="0"/>
              <w:adjustRightInd w:val="0"/>
              <w:spacing w:before="31" w:beforeLines="10" w:after="31" w:afterLines="10" w:line="288" w:lineRule="auto"/>
              <w:ind w:firstLine="0" w:firstLineChars="0"/>
              <w:jc w:val="center"/>
              <w:rPr>
                <w:rFonts w:cs="Times New Roman"/>
                <w:b/>
                <w:bCs/>
                <w:color w:val="auto"/>
                <w:sz w:val="21"/>
                <w:szCs w:val="21"/>
              </w:rPr>
            </w:pPr>
            <w:r>
              <w:rPr>
                <w:rFonts w:ascii="宋体" w:hAnsi="宋体" w:cs="Times New Roman"/>
                <w:b/>
                <w:bCs/>
                <w:color w:val="auto"/>
                <w:sz w:val="21"/>
                <w:szCs w:val="21"/>
              </w:rPr>
              <w:t>检测前</w:t>
            </w:r>
          </w:p>
        </w:tc>
        <w:tc>
          <w:tcPr>
            <w:tcW w:w="2018" w:type="dxa"/>
            <w:gridSpan w:val="3"/>
            <w:vAlign w:val="center"/>
          </w:tcPr>
          <w:p>
            <w:pPr>
              <w:autoSpaceDE w:val="0"/>
              <w:autoSpaceDN w:val="0"/>
              <w:adjustRightInd w:val="0"/>
              <w:spacing w:line="240" w:lineRule="auto"/>
              <w:ind w:firstLine="0" w:firstLineChars="0"/>
              <w:jc w:val="center"/>
              <w:rPr>
                <w:rFonts w:cs="Times New Roman"/>
                <w:b/>
                <w:bCs/>
                <w:color w:val="auto"/>
                <w:sz w:val="21"/>
                <w:szCs w:val="21"/>
              </w:rPr>
            </w:pPr>
            <w:r>
              <w:rPr>
                <w:rFonts w:ascii="宋体" w:hAnsi="宋体" w:cs="Times New Roman"/>
                <w:b/>
                <w:bCs/>
                <w:color w:val="auto"/>
                <w:sz w:val="21"/>
                <w:szCs w:val="21"/>
              </w:rPr>
              <w:t>检测后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30" w:type="dxa"/>
            <w:bottom w:w="0" w:type="dxa"/>
            <w:right w:w="30" w:type="dxa"/>
          </w:tblCellMar>
        </w:tblPrEx>
        <w:trPr>
          <w:cantSplit/>
          <w:trHeight w:val="721" w:hRule="atLeast"/>
          <w:jc w:val="center"/>
        </w:trPr>
        <w:tc>
          <w:tcPr>
            <w:tcW w:w="1179" w:type="dxa"/>
            <w:vMerge w:val="continue"/>
            <w:vAlign w:val="center"/>
          </w:tcPr>
          <w:p>
            <w:pPr>
              <w:widowControl/>
              <w:spacing w:line="240" w:lineRule="auto"/>
              <w:ind w:firstLine="0" w:firstLineChars="0"/>
              <w:jc w:val="left"/>
              <w:rPr>
                <w:rFonts w:cs="Times New Roman"/>
                <w:b/>
                <w:bCs/>
                <w:color w:val="auto"/>
                <w:sz w:val="21"/>
                <w:szCs w:val="21"/>
              </w:rPr>
            </w:pPr>
          </w:p>
        </w:tc>
        <w:tc>
          <w:tcPr>
            <w:tcW w:w="942" w:type="dxa"/>
            <w:vMerge w:val="continue"/>
            <w:vAlign w:val="center"/>
          </w:tcPr>
          <w:p>
            <w:pPr>
              <w:widowControl/>
              <w:spacing w:line="240" w:lineRule="auto"/>
              <w:ind w:firstLine="0" w:firstLineChars="0"/>
              <w:jc w:val="left"/>
              <w:rPr>
                <w:rFonts w:cs="Times New Roman"/>
                <w:b/>
                <w:bCs/>
                <w:color w:val="auto"/>
                <w:sz w:val="21"/>
                <w:szCs w:val="21"/>
              </w:rPr>
            </w:pPr>
          </w:p>
        </w:tc>
        <w:tc>
          <w:tcPr>
            <w:tcW w:w="1752" w:type="dxa"/>
            <w:vMerge w:val="continue"/>
            <w:vAlign w:val="center"/>
          </w:tcPr>
          <w:p>
            <w:pPr>
              <w:widowControl/>
              <w:spacing w:line="240" w:lineRule="auto"/>
              <w:ind w:firstLine="0" w:firstLineChars="0"/>
              <w:jc w:val="left"/>
              <w:rPr>
                <w:rFonts w:cs="Times New Roman"/>
                <w:b/>
                <w:bCs/>
                <w:color w:val="auto"/>
                <w:sz w:val="21"/>
                <w:szCs w:val="21"/>
              </w:rPr>
            </w:pPr>
          </w:p>
        </w:tc>
        <w:tc>
          <w:tcPr>
            <w:tcW w:w="597" w:type="dxa"/>
            <w:vMerge w:val="continue"/>
            <w:vAlign w:val="center"/>
          </w:tcPr>
          <w:p>
            <w:pPr>
              <w:widowControl/>
              <w:spacing w:line="240" w:lineRule="auto"/>
              <w:ind w:firstLine="0" w:firstLineChars="0"/>
              <w:jc w:val="left"/>
              <w:rPr>
                <w:rFonts w:cs="Times New Roman"/>
                <w:b/>
                <w:bCs/>
                <w:color w:val="auto"/>
                <w:sz w:val="21"/>
                <w:szCs w:val="21"/>
              </w:rPr>
            </w:pPr>
          </w:p>
        </w:tc>
        <w:tc>
          <w:tcPr>
            <w:tcW w:w="479" w:type="dxa"/>
            <w:vMerge w:val="continue"/>
            <w:vAlign w:val="center"/>
          </w:tcPr>
          <w:p>
            <w:pPr>
              <w:widowControl/>
              <w:spacing w:line="240" w:lineRule="auto"/>
              <w:ind w:firstLine="0" w:firstLineChars="0"/>
              <w:jc w:val="left"/>
              <w:rPr>
                <w:rFonts w:cs="Times New Roman"/>
                <w:b/>
                <w:bCs/>
                <w:color w:val="auto"/>
                <w:sz w:val="21"/>
                <w:szCs w:val="21"/>
              </w:rPr>
            </w:pPr>
          </w:p>
        </w:tc>
        <w:tc>
          <w:tcPr>
            <w:tcW w:w="568" w:type="dxa"/>
            <w:vAlign w:val="center"/>
          </w:tcPr>
          <w:p>
            <w:pPr>
              <w:autoSpaceDE w:val="0"/>
              <w:autoSpaceDN w:val="0"/>
              <w:adjustRightInd w:val="0"/>
              <w:spacing w:line="240" w:lineRule="auto"/>
              <w:ind w:firstLine="0" w:firstLineChars="0"/>
              <w:jc w:val="center"/>
              <w:rPr>
                <w:rFonts w:cs="Times New Roman"/>
                <w:b/>
                <w:bCs/>
                <w:color w:val="auto"/>
                <w:sz w:val="21"/>
                <w:szCs w:val="21"/>
              </w:rPr>
            </w:pPr>
            <w:r>
              <w:rPr>
                <w:rFonts w:ascii="宋体" w:hAnsi="宋体" w:cs="Times New Roman"/>
                <w:b/>
                <w:bCs/>
                <w:color w:val="auto"/>
                <w:sz w:val="21"/>
                <w:szCs w:val="21"/>
              </w:rPr>
              <w:t>测定值</w:t>
            </w:r>
          </w:p>
        </w:tc>
        <w:tc>
          <w:tcPr>
            <w:tcW w:w="568" w:type="dxa"/>
            <w:vAlign w:val="center"/>
          </w:tcPr>
          <w:p>
            <w:pPr>
              <w:autoSpaceDE w:val="0"/>
              <w:autoSpaceDN w:val="0"/>
              <w:adjustRightInd w:val="0"/>
              <w:spacing w:line="240" w:lineRule="auto"/>
              <w:ind w:firstLine="0" w:firstLineChars="0"/>
              <w:jc w:val="center"/>
              <w:rPr>
                <w:rFonts w:cs="Times New Roman"/>
                <w:b/>
                <w:bCs/>
                <w:color w:val="auto"/>
                <w:sz w:val="21"/>
                <w:szCs w:val="21"/>
              </w:rPr>
            </w:pPr>
            <w:r>
              <w:rPr>
                <w:rFonts w:ascii="宋体" w:hAnsi="宋体" w:cs="Times New Roman"/>
                <w:b/>
                <w:bCs/>
                <w:color w:val="auto"/>
                <w:sz w:val="21"/>
                <w:szCs w:val="21"/>
              </w:rPr>
              <w:t>绝对</w:t>
            </w:r>
          </w:p>
          <w:p>
            <w:pPr>
              <w:autoSpaceDE w:val="0"/>
              <w:autoSpaceDN w:val="0"/>
              <w:adjustRightInd w:val="0"/>
              <w:spacing w:line="240" w:lineRule="auto"/>
              <w:ind w:firstLine="0" w:firstLineChars="0"/>
              <w:jc w:val="center"/>
              <w:rPr>
                <w:rFonts w:cs="Times New Roman"/>
                <w:b/>
                <w:bCs/>
                <w:color w:val="auto"/>
                <w:sz w:val="21"/>
                <w:szCs w:val="21"/>
              </w:rPr>
            </w:pPr>
            <w:r>
              <w:rPr>
                <w:rFonts w:ascii="宋体" w:hAnsi="宋体" w:cs="Times New Roman"/>
                <w:b/>
                <w:bCs/>
                <w:color w:val="auto"/>
                <w:sz w:val="21"/>
                <w:szCs w:val="21"/>
              </w:rPr>
              <w:t>误差</w:t>
            </w:r>
            <w:r>
              <w:rPr>
                <w:rFonts w:cs="Times New Roman"/>
                <w:b/>
                <w:bCs/>
                <w:color w:val="auto"/>
                <w:sz w:val="21"/>
                <w:szCs w:val="21"/>
              </w:rPr>
              <w:t>±0.5</w:t>
            </w:r>
          </w:p>
        </w:tc>
        <w:tc>
          <w:tcPr>
            <w:tcW w:w="571" w:type="dxa"/>
            <w:vAlign w:val="center"/>
          </w:tcPr>
          <w:p>
            <w:pPr>
              <w:autoSpaceDE w:val="0"/>
              <w:autoSpaceDN w:val="0"/>
              <w:adjustRightInd w:val="0"/>
              <w:spacing w:line="240" w:lineRule="auto"/>
              <w:ind w:firstLine="0" w:firstLineChars="0"/>
              <w:jc w:val="center"/>
              <w:rPr>
                <w:rFonts w:cs="Times New Roman"/>
                <w:b/>
                <w:bCs/>
                <w:color w:val="auto"/>
                <w:sz w:val="21"/>
                <w:szCs w:val="21"/>
              </w:rPr>
            </w:pPr>
            <w:r>
              <w:rPr>
                <w:rFonts w:ascii="宋体" w:hAnsi="宋体" w:cs="Times New Roman"/>
                <w:b/>
                <w:bCs/>
                <w:color w:val="auto"/>
                <w:sz w:val="21"/>
                <w:szCs w:val="21"/>
              </w:rPr>
              <w:t>是否</w:t>
            </w:r>
          </w:p>
          <w:p>
            <w:pPr>
              <w:autoSpaceDE w:val="0"/>
              <w:autoSpaceDN w:val="0"/>
              <w:adjustRightInd w:val="0"/>
              <w:spacing w:line="240" w:lineRule="auto"/>
              <w:ind w:firstLine="0" w:firstLineChars="0"/>
              <w:jc w:val="center"/>
              <w:rPr>
                <w:rFonts w:cs="Times New Roman"/>
                <w:b/>
                <w:bCs/>
                <w:color w:val="auto"/>
                <w:sz w:val="21"/>
                <w:szCs w:val="21"/>
              </w:rPr>
            </w:pPr>
            <w:r>
              <w:rPr>
                <w:rFonts w:ascii="宋体" w:hAnsi="宋体" w:cs="Times New Roman"/>
                <w:b/>
                <w:bCs/>
                <w:color w:val="auto"/>
                <w:sz w:val="21"/>
                <w:szCs w:val="21"/>
              </w:rPr>
              <w:t>合格</w:t>
            </w:r>
          </w:p>
        </w:tc>
        <w:tc>
          <w:tcPr>
            <w:tcW w:w="568" w:type="dxa"/>
            <w:vAlign w:val="center"/>
          </w:tcPr>
          <w:p>
            <w:pPr>
              <w:autoSpaceDE w:val="0"/>
              <w:autoSpaceDN w:val="0"/>
              <w:adjustRightInd w:val="0"/>
              <w:spacing w:line="240" w:lineRule="auto"/>
              <w:ind w:firstLine="0" w:firstLineChars="0"/>
              <w:jc w:val="center"/>
              <w:rPr>
                <w:rFonts w:cs="Times New Roman"/>
                <w:b/>
                <w:bCs/>
                <w:color w:val="auto"/>
                <w:sz w:val="21"/>
                <w:szCs w:val="21"/>
              </w:rPr>
            </w:pPr>
            <w:r>
              <w:rPr>
                <w:rFonts w:ascii="宋体" w:hAnsi="宋体" w:cs="Times New Roman"/>
                <w:b/>
                <w:bCs/>
                <w:color w:val="auto"/>
                <w:sz w:val="21"/>
                <w:szCs w:val="21"/>
              </w:rPr>
              <w:t>测定值</w:t>
            </w:r>
          </w:p>
        </w:tc>
        <w:tc>
          <w:tcPr>
            <w:tcW w:w="568" w:type="dxa"/>
            <w:vAlign w:val="center"/>
          </w:tcPr>
          <w:p>
            <w:pPr>
              <w:autoSpaceDE w:val="0"/>
              <w:autoSpaceDN w:val="0"/>
              <w:adjustRightInd w:val="0"/>
              <w:spacing w:line="240" w:lineRule="auto"/>
              <w:ind w:firstLine="0" w:firstLineChars="0"/>
              <w:jc w:val="center"/>
              <w:rPr>
                <w:rFonts w:cs="Times New Roman"/>
                <w:b/>
                <w:bCs/>
                <w:color w:val="auto"/>
                <w:sz w:val="21"/>
                <w:szCs w:val="21"/>
              </w:rPr>
            </w:pPr>
            <w:r>
              <w:rPr>
                <w:rFonts w:ascii="宋体" w:hAnsi="宋体" w:cs="Times New Roman"/>
                <w:b/>
                <w:bCs/>
                <w:color w:val="auto"/>
                <w:sz w:val="21"/>
                <w:szCs w:val="21"/>
              </w:rPr>
              <w:t>绝对</w:t>
            </w:r>
          </w:p>
          <w:p>
            <w:pPr>
              <w:autoSpaceDE w:val="0"/>
              <w:autoSpaceDN w:val="0"/>
              <w:adjustRightInd w:val="0"/>
              <w:spacing w:line="240" w:lineRule="auto"/>
              <w:ind w:firstLine="0" w:firstLineChars="0"/>
              <w:jc w:val="center"/>
              <w:rPr>
                <w:rFonts w:cs="Times New Roman"/>
                <w:b/>
                <w:bCs/>
                <w:color w:val="auto"/>
                <w:sz w:val="21"/>
                <w:szCs w:val="21"/>
              </w:rPr>
            </w:pPr>
            <w:r>
              <w:rPr>
                <w:rFonts w:ascii="宋体" w:hAnsi="宋体" w:cs="Times New Roman"/>
                <w:b/>
                <w:bCs/>
                <w:color w:val="auto"/>
                <w:sz w:val="21"/>
                <w:szCs w:val="21"/>
              </w:rPr>
              <w:t>误差</w:t>
            </w:r>
            <w:r>
              <w:rPr>
                <w:rFonts w:cs="Times New Roman"/>
                <w:b/>
                <w:bCs/>
                <w:color w:val="auto"/>
                <w:sz w:val="21"/>
                <w:szCs w:val="21"/>
              </w:rPr>
              <w:t>±0.5</w:t>
            </w:r>
          </w:p>
        </w:tc>
        <w:tc>
          <w:tcPr>
            <w:tcW w:w="882" w:type="dxa"/>
            <w:vAlign w:val="center"/>
          </w:tcPr>
          <w:p>
            <w:pPr>
              <w:autoSpaceDE w:val="0"/>
              <w:autoSpaceDN w:val="0"/>
              <w:adjustRightInd w:val="0"/>
              <w:spacing w:line="240" w:lineRule="auto"/>
              <w:ind w:firstLine="0" w:firstLineChars="0"/>
              <w:jc w:val="center"/>
              <w:rPr>
                <w:rFonts w:cs="Times New Roman"/>
                <w:b/>
                <w:bCs/>
                <w:color w:val="auto"/>
                <w:sz w:val="21"/>
                <w:szCs w:val="21"/>
              </w:rPr>
            </w:pPr>
            <w:r>
              <w:rPr>
                <w:rFonts w:ascii="宋体" w:hAnsi="宋体" w:cs="Times New Roman"/>
                <w:b/>
                <w:bCs/>
                <w:color w:val="auto"/>
                <w:sz w:val="21"/>
                <w:szCs w:val="21"/>
              </w:rPr>
              <w:t>是否</w:t>
            </w:r>
          </w:p>
          <w:p>
            <w:pPr>
              <w:autoSpaceDE w:val="0"/>
              <w:autoSpaceDN w:val="0"/>
              <w:adjustRightInd w:val="0"/>
              <w:spacing w:line="240" w:lineRule="auto"/>
              <w:ind w:firstLine="0" w:firstLineChars="0"/>
              <w:jc w:val="center"/>
              <w:rPr>
                <w:rFonts w:cs="Times New Roman"/>
                <w:b/>
                <w:bCs/>
                <w:color w:val="auto"/>
                <w:sz w:val="21"/>
                <w:szCs w:val="21"/>
              </w:rPr>
            </w:pPr>
            <w:r>
              <w:rPr>
                <w:rFonts w:ascii="宋体" w:hAnsi="宋体" w:cs="Times New Roman"/>
                <w:b/>
                <w:bCs/>
                <w:color w:val="auto"/>
                <w:sz w:val="21"/>
                <w:szCs w:val="21"/>
              </w:rPr>
              <w:t>合格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30" w:type="dxa"/>
            <w:bottom w:w="0" w:type="dxa"/>
            <w:right w:w="30" w:type="dxa"/>
          </w:tblCellMar>
        </w:tblPrEx>
        <w:trPr>
          <w:trHeight w:val="392" w:hRule="atLeast"/>
          <w:jc w:val="center"/>
        </w:trPr>
        <w:tc>
          <w:tcPr>
            <w:tcW w:w="1179" w:type="dxa"/>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2025.12.10</w:t>
            </w:r>
          </w:p>
        </w:tc>
        <w:tc>
          <w:tcPr>
            <w:tcW w:w="942" w:type="dxa"/>
            <w:vAlign w:val="center"/>
          </w:tcPr>
          <w:p>
            <w:pPr>
              <w:spacing w:line="240" w:lineRule="auto"/>
              <w:ind w:firstLine="0" w:firstLineChars="0"/>
              <w:jc w:val="center"/>
              <w:rPr>
                <w:rFonts w:cs="Times New Roman"/>
                <w:color w:val="auto"/>
                <w:sz w:val="21"/>
                <w:szCs w:val="21"/>
              </w:rPr>
            </w:pPr>
            <w:r>
              <w:rPr>
                <w:rFonts w:cs="Times New Roman"/>
                <w:color w:val="auto"/>
                <w:sz w:val="21"/>
                <w:szCs w:val="21"/>
              </w:rPr>
              <w:t>AWA5688</w:t>
            </w:r>
          </w:p>
        </w:tc>
        <w:tc>
          <w:tcPr>
            <w:tcW w:w="1752" w:type="dxa"/>
            <w:vAlign w:val="center"/>
          </w:tcPr>
          <w:p>
            <w:pPr>
              <w:spacing w:line="240" w:lineRule="auto"/>
              <w:ind w:firstLine="0" w:firstLineChars="0"/>
              <w:jc w:val="center"/>
              <w:rPr>
                <w:rFonts w:cs="Times New Roman"/>
                <w:color w:val="auto"/>
                <w:sz w:val="21"/>
                <w:szCs w:val="21"/>
              </w:rPr>
            </w:pPr>
            <w:r>
              <w:rPr>
                <w:rFonts w:cs="Times New Roman"/>
                <w:color w:val="auto"/>
                <w:sz w:val="21"/>
                <w:szCs w:val="21"/>
              </w:rPr>
              <w:t>MMGR-XC-001-02</w:t>
            </w:r>
          </w:p>
        </w:tc>
        <w:tc>
          <w:tcPr>
            <w:tcW w:w="597" w:type="dxa"/>
            <w:vAlign w:val="center"/>
          </w:tcPr>
          <w:p>
            <w:pPr>
              <w:autoSpaceDE w:val="0"/>
              <w:autoSpaceDN w:val="0"/>
              <w:adjustRightInd w:val="0"/>
              <w:spacing w:before="31" w:beforeLines="10" w:after="31" w:afterLines="10" w:line="288" w:lineRule="auto"/>
              <w:ind w:firstLine="0" w:firstLineChars="0"/>
              <w:jc w:val="center"/>
              <w:rPr>
                <w:rFonts w:cs="Times New Roman"/>
                <w:color w:val="auto"/>
                <w:sz w:val="21"/>
                <w:szCs w:val="21"/>
              </w:rPr>
            </w:pPr>
            <w:r>
              <w:rPr>
                <w:rFonts w:cs="Times New Roman"/>
                <w:color w:val="auto"/>
                <w:kern w:val="0"/>
                <w:sz w:val="21"/>
                <w:szCs w:val="21"/>
              </w:rPr>
              <w:t>dB(A)</w:t>
            </w:r>
          </w:p>
        </w:tc>
        <w:tc>
          <w:tcPr>
            <w:tcW w:w="479" w:type="dxa"/>
            <w:vAlign w:val="center"/>
          </w:tcPr>
          <w:p>
            <w:pPr>
              <w:autoSpaceDE w:val="0"/>
              <w:autoSpaceDN w:val="0"/>
              <w:adjustRightInd w:val="0"/>
              <w:spacing w:before="31" w:beforeLines="10" w:after="31" w:afterLines="10" w:line="288" w:lineRule="auto"/>
              <w:ind w:firstLine="0" w:firstLineChars="0"/>
              <w:jc w:val="center"/>
              <w:rPr>
                <w:rFonts w:cs="Times New Roman"/>
                <w:color w:val="auto"/>
                <w:sz w:val="21"/>
                <w:szCs w:val="21"/>
              </w:rPr>
            </w:pPr>
            <w:r>
              <w:rPr>
                <w:rFonts w:cs="Times New Roman"/>
                <w:color w:val="auto"/>
                <w:sz w:val="21"/>
                <w:szCs w:val="21"/>
              </w:rPr>
              <w:t>94.0</w:t>
            </w:r>
          </w:p>
        </w:tc>
        <w:tc>
          <w:tcPr>
            <w:tcW w:w="568" w:type="dxa"/>
            <w:vAlign w:val="center"/>
          </w:tcPr>
          <w:p>
            <w:pPr>
              <w:autoSpaceDE w:val="0"/>
              <w:autoSpaceDN w:val="0"/>
              <w:adjustRightInd w:val="0"/>
              <w:spacing w:before="31" w:beforeLines="10" w:after="31" w:afterLines="10" w:line="288" w:lineRule="auto"/>
              <w:ind w:firstLine="0" w:firstLineChars="0"/>
              <w:jc w:val="center"/>
              <w:rPr>
                <w:rFonts w:cs="Times New Roman"/>
                <w:color w:val="auto"/>
                <w:sz w:val="21"/>
                <w:szCs w:val="21"/>
              </w:rPr>
            </w:pPr>
            <w:r>
              <w:rPr>
                <w:rFonts w:cs="Times New Roman"/>
                <w:color w:val="auto"/>
                <w:sz w:val="21"/>
                <w:szCs w:val="21"/>
              </w:rPr>
              <w:t>93.8</w:t>
            </w:r>
          </w:p>
        </w:tc>
        <w:tc>
          <w:tcPr>
            <w:tcW w:w="568" w:type="dxa"/>
            <w:vAlign w:val="center"/>
          </w:tcPr>
          <w:p>
            <w:pPr>
              <w:autoSpaceDE w:val="0"/>
              <w:autoSpaceDN w:val="0"/>
              <w:adjustRightInd w:val="0"/>
              <w:spacing w:before="31" w:beforeLines="10" w:after="31" w:afterLines="10" w:line="288" w:lineRule="auto"/>
              <w:ind w:firstLine="0" w:firstLineChars="0"/>
              <w:jc w:val="center"/>
              <w:rPr>
                <w:rFonts w:cs="Times New Roman"/>
                <w:color w:val="auto"/>
                <w:sz w:val="21"/>
                <w:szCs w:val="21"/>
              </w:rPr>
            </w:pPr>
            <w:r>
              <w:rPr>
                <w:rFonts w:cs="Times New Roman"/>
                <w:color w:val="auto"/>
                <w:sz w:val="21"/>
                <w:szCs w:val="21"/>
              </w:rPr>
              <w:t>-0.2</w:t>
            </w:r>
          </w:p>
        </w:tc>
        <w:tc>
          <w:tcPr>
            <w:tcW w:w="571" w:type="dxa"/>
            <w:vAlign w:val="center"/>
          </w:tcPr>
          <w:p>
            <w:pPr>
              <w:autoSpaceDE w:val="0"/>
              <w:autoSpaceDN w:val="0"/>
              <w:adjustRightInd w:val="0"/>
              <w:spacing w:before="31" w:beforeLines="10" w:after="31" w:afterLines="10" w:line="288" w:lineRule="auto"/>
              <w:ind w:firstLine="0" w:firstLineChars="0"/>
              <w:jc w:val="center"/>
              <w:rPr>
                <w:rFonts w:cs="Times New Roman"/>
                <w:color w:val="auto"/>
                <w:sz w:val="21"/>
                <w:szCs w:val="21"/>
              </w:rPr>
            </w:pPr>
            <w:r>
              <w:rPr>
                <w:rFonts w:ascii="宋体" w:hAnsi="宋体" w:cs="Times New Roman"/>
                <w:color w:val="auto"/>
                <w:sz w:val="21"/>
                <w:szCs w:val="21"/>
              </w:rPr>
              <w:t>合格</w:t>
            </w:r>
          </w:p>
        </w:tc>
        <w:tc>
          <w:tcPr>
            <w:tcW w:w="568" w:type="dxa"/>
            <w:vAlign w:val="center"/>
          </w:tcPr>
          <w:p>
            <w:pPr>
              <w:autoSpaceDE w:val="0"/>
              <w:autoSpaceDN w:val="0"/>
              <w:adjustRightInd w:val="0"/>
              <w:spacing w:before="31" w:beforeLines="10" w:after="31" w:afterLines="10" w:line="288" w:lineRule="auto"/>
              <w:ind w:firstLine="0" w:firstLineChars="0"/>
              <w:jc w:val="center"/>
              <w:rPr>
                <w:rFonts w:cs="Times New Roman"/>
                <w:color w:val="auto"/>
                <w:sz w:val="21"/>
                <w:szCs w:val="21"/>
              </w:rPr>
            </w:pPr>
            <w:r>
              <w:rPr>
                <w:rFonts w:cs="Times New Roman"/>
                <w:color w:val="auto"/>
                <w:sz w:val="21"/>
                <w:szCs w:val="21"/>
              </w:rPr>
              <w:t>93.8</w:t>
            </w:r>
          </w:p>
        </w:tc>
        <w:tc>
          <w:tcPr>
            <w:tcW w:w="568" w:type="dxa"/>
            <w:vAlign w:val="center"/>
          </w:tcPr>
          <w:p>
            <w:pPr>
              <w:autoSpaceDE w:val="0"/>
              <w:autoSpaceDN w:val="0"/>
              <w:adjustRightInd w:val="0"/>
              <w:spacing w:before="31" w:beforeLines="10" w:after="31" w:afterLines="10" w:line="288" w:lineRule="auto"/>
              <w:ind w:firstLine="0" w:firstLineChars="0"/>
              <w:jc w:val="center"/>
              <w:rPr>
                <w:rFonts w:cs="Times New Roman"/>
                <w:color w:val="auto"/>
                <w:sz w:val="21"/>
                <w:szCs w:val="21"/>
              </w:rPr>
            </w:pPr>
            <w:r>
              <w:rPr>
                <w:rFonts w:cs="Times New Roman"/>
                <w:color w:val="auto"/>
                <w:sz w:val="21"/>
                <w:szCs w:val="21"/>
              </w:rPr>
              <w:t>-0.2</w:t>
            </w:r>
          </w:p>
        </w:tc>
        <w:tc>
          <w:tcPr>
            <w:tcW w:w="882" w:type="dxa"/>
            <w:vAlign w:val="center"/>
          </w:tcPr>
          <w:p>
            <w:pPr>
              <w:autoSpaceDE w:val="0"/>
              <w:autoSpaceDN w:val="0"/>
              <w:adjustRightInd w:val="0"/>
              <w:spacing w:before="31" w:beforeLines="10" w:after="31" w:afterLines="10" w:line="288" w:lineRule="auto"/>
              <w:ind w:firstLine="0" w:firstLineChars="0"/>
              <w:jc w:val="center"/>
              <w:rPr>
                <w:rFonts w:cs="Times New Roman"/>
                <w:color w:val="auto"/>
                <w:sz w:val="21"/>
                <w:szCs w:val="21"/>
              </w:rPr>
            </w:pPr>
            <w:r>
              <w:rPr>
                <w:rFonts w:ascii="宋体" w:hAnsi="宋体" w:cs="Times New Roman"/>
                <w:color w:val="auto"/>
                <w:sz w:val="21"/>
                <w:szCs w:val="21"/>
              </w:rPr>
              <w:t>合格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30" w:type="dxa"/>
            <w:bottom w:w="0" w:type="dxa"/>
            <w:right w:w="30" w:type="dxa"/>
          </w:tblCellMar>
        </w:tblPrEx>
        <w:trPr>
          <w:trHeight w:val="392" w:hRule="atLeast"/>
          <w:jc w:val="center"/>
        </w:trPr>
        <w:tc>
          <w:tcPr>
            <w:tcW w:w="1179" w:type="dxa"/>
            <w:vAlign w:val="center"/>
          </w:tcPr>
          <w:p>
            <w:pPr>
              <w:spacing w:line="240" w:lineRule="auto"/>
              <w:ind w:firstLine="0" w:firstLineChars="0"/>
              <w:jc w:val="center"/>
              <w:rPr>
                <w:rFonts w:cs="Times New Roman"/>
                <w:color w:val="auto"/>
                <w:sz w:val="21"/>
                <w:szCs w:val="21"/>
              </w:rPr>
            </w:pPr>
            <w:r>
              <w:rPr>
                <w:rFonts w:cs="Times New Roman"/>
                <w:color w:val="auto"/>
                <w:kern w:val="0"/>
                <w:sz w:val="21"/>
                <w:szCs w:val="21"/>
              </w:rPr>
              <w:t>2025.12.11</w:t>
            </w:r>
          </w:p>
        </w:tc>
        <w:tc>
          <w:tcPr>
            <w:tcW w:w="942" w:type="dxa"/>
            <w:vAlign w:val="center"/>
          </w:tcPr>
          <w:p>
            <w:pPr>
              <w:spacing w:line="240" w:lineRule="auto"/>
              <w:ind w:firstLine="0" w:firstLineChars="0"/>
              <w:jc w:val="center"/>
              <w:rPr>
                <w:rFonts w:cs="Times New Roman"/>
                <w:color w:val="auto"/>
                <w:sz w:val="21"/>
                <w:szCs w:val="21"/>
              </w:rPr>
            </w:pPr>
            <w:r>
              <w:rPr>
                <w:rFonts w:cs="Times New Roman"/>
                <w:color w:val="auto"/>
                <w:sz w:val="21"/>
                <w:szCs w:val="21"/>
              </w:rPr>
              <w:t>AWA5688</w:t>
            </w:r>
          </w:p>
        </w:tc>
        <w:tc>
          <w:tcPr>
            <w:tcW w:w="1752" w:type="dxa"/>
            <w:vAlign w:val="center"/>
          </w:tcPr>
          <w:p>
            <w:pPr>
              <w:spacing w:line="240" w:lineRule="auto"/>
              <w:ind w:firstLine="0" w:firstLineChars="0"/>
              <w:jc w:val="center"/>
              <w:rPr>
                <w:rFonts w:cs="Times New Roman"/>
                <w:color w:val="auto"/>
                <w:sz w:val="21"/>
                <w:szCs w:val="21"/>
              </w:rPr>
            </w:pPr>
            <w:r>
              <w:rPr>
                <w:rFonts w:cs="Times New Roman"/>
                <w:color w:val="auto"/>
                <w:sz w:val="21"/>
                <w:szCs w:val="21"/>
              </w:rPr>
              <w:t>MMGR-XC-001-02</w:t>
            </w:r>
          </w:p>
        </w:tc>
        <w:tc>
          <w:tcPr>
            <w:tcW w:w="597" w:type="dxa"/>
            <w:vAlign w:val="center"/>
          </w:tcPr>
          <w:p>
            <w:pPr>
              <w:autoSpaceDE w:val="0"/>
              <w:autoSpaceDN w:val="0"/>
              <w:adjustRightInd w:val="0"/>
              <w:spacing w:before="31" w:beforeLines="10" w:after="31" w:afterLines="10" w:line="288" w:lineRule="auto"/>
              <w:ind w:firstLine="0" w:firstLineChars="0"/>
              <w:jc w:val="center"/>
              <w:rPr>
                <w:rFonts w:cs="Times New Roman"/>
                <w:color w:val="auto"/>
                <w:sz w:val="21"/>
                <w:szCs w:val="21"/>
              </w:rPr>
            </w:pPr>
            <w:r>
              <w:rPr>
                <w:rFonts w:cs="Times New Roman"/>
                <w:color w:val="auto"/>
                <w:kern w:val="0"/>
                <w:sz w:val="21"/>
                <w:szCs w:val="21"/>
              </w:rPr>
              <w:t>dB(A)</w:t>
            </w:r>
          </w:p>
        </w:tc>
        <w:tc>
          <w:tcPr>
            <w:tcW w:w="479" w:type="dxa"/>
            <w:vAlign w:val="center"/>
          </w:tcPr>
          <w:p>
            <w:pPr>
              <w:autoSpaceDE w:val="0"/>
              <w:autoSpaceDN w:val="0"/>
              <w:adjustRightInd w:val="0"/>
              <w:spacing w:before="31" w:beforeLines="10" w:after="31" w:afterLines="10" w:line="288" w:lineRule="auto"/>
              <w:ind w:firstLine="0" w:firstLineChars="0"/>
              <w:jc w:val="center"/>
              <w:rPr>
                <w:rFonts w:cs="Times New Roman"/>
                <w:color w:val="auto"/>
                <w:sz w:val="21"/>
                <w:szCs w:val="21"/>
              </w:rPr>
            </w:pPr>
            <w:r>
              <w:rPr>
                <w:rFonts w:cs="Times New Roman"/>
                <w:color w:val="auto"/>
                <w:sz w:val="21"/>
                <w:szCs w:val="21"/>
              </w:rPr>
              <w:t>94.0</w:t>
            </w:r>
          </w:p>
        </w:tc>
        <w:tc>
          <w:tcPr>
            <w:tcW w:w="568" w:type="dxa"/>
            <w:vAlign w:val="center"/>
          </w:tcPr>
          <w:p>
            <w:pPr>
              <w:autoSpaceDE w:val="0"/>
              <w:autoSpaceDN w:val="0"/>
              <w:adjustRightInd w:val="0"/>
              <w:spacing w:before="31" w:beforeLines="10" w:after="31" w:afterLines="10" w:line="288" w:lineRule="auto"/>
              <w:ind w:firstLine="0" w:firstLineChars="0"/>
              <w:jc w:val="center"/>
              <w:rPr>
                <w:rFonts w:cs="Times New Roman"/>
                <w:color w:val="auto"/>
                <w:sz w:val="21"/>
                <w:szCs w:val="21"/>
              </w:rPr>
            </w:pPr>
            <w:r>
              <w:rPr>
                <w:rFonts w:cs="Times New Roman"/>
                <w:color w:val="auto"/>
                <w:sz w:val="21"/>
                <w:szCs w:val="21"/>
              </w:rPr>
              <w:t>93.8</w:t>
            </w:r>
          </w:p>
        </w:tc>
        <w:tc>
          <w:tcPr>
            <w:tcW w:w="568" w:type="dxa"/>
            <w:vAlign w:val="center"/>
          </w:tcPr>
          <w:p>
            <w:pPr>
              <w:autoSpaceDE w:val="0"/>
              <w:autoSpaceDN w:val="0"/>
              <w:adjustRightInd w:val="0"/>
              <w:spacing w:before="31" w:beforeLines="10" w:after="31" w:afterLines="10" w:line="288" w:lineRule="auto"/>
              <w:ind w:firstLine="0" w:firstLineChars="0"/>
              <w:jc w:val="center"/>
              <w:rPr>
                <w:rFonts w:cs="Times New Roman"/>
                <w:color w:val="auto"/>
                <w:sz w:val="21"/>
                <w:szCs w:val="21"/>
              </w:rPr>
            </w:pPr>
            <w:r>
              <w:rPr>
                <w:rFonts w:cs="Times New Roman"/>
                <w:color w:val="auto"/>
                <w:sz w:val="21"/>
                <w:szCs w:val="21"/>
              </w:rPr>
              <w:t>-0.2</w:t>
            </w:r>
          </w:p>
        </w:tc>
        <w:tc>
          <w:tcPr>
            <w:tcW w:w="571" w:type="dxa"/>
            <w:vAlign w:val="center"/>
          </w:tcPr>
          <w:p>
            <w:pPr>
              <w:autoSpaceDE w:val="0"/>
              <w:autoSpaceDN w:val="0"/>
              <w:adjustRightInd w:val="0"/>
              <w:spacing w:before="31" w:beforeLines="10" w:after="31" w:afterLines="10" w:line="288" w:lineRule="auto"/>
              <w:ind w:firstLine="0" w:firstLineChars="0"/>
              <w:jc w:val="center"/>
              <w:rPr>
                <w:rFonts w:cs="Times New Roman"/>
                <w:color w:val="auto"/>
                <w:sz w:val="21"/>
                <w:szCs w:val="21"/>
              </w:rPr>
            </w:pPr>
            <w:r>
              <w:rPr>
                <w:rFonts w:ascii="宋体" w:hAnsi="宋体" w:cs="Times New Roman"/>
                <w:color w:val="auto"/>
                <w:sz w:val="21"/>
                <w:szCs w:val="21"/>
              </w:rPr>
              <w:t>合格</w:t>
            </w:r>
          </w:p>
        </w:tc>
        <w:tc>
          <w:tcPr>
            <w:tcW w:w="568" w:type="dxa"/>
            <w:vAlign w:val="center"/>
          </w:tcPr>
          <w:p>
            <w:pPr>
              <w:autoSpaceDE w:val="0"/>
              <w:autoSpaceDN w:val="0"/>
              <w:adjustRightInd w:val="0"/>
              <w:spacing w:before="31" w:beforeLines="10" w:after="31" w:afterLines="10" w:line="288" w:lineRule="auto"/>
              <w:ind w:firstLine="0" w:firstLineChars="0"/>
              <w:jc w:val="center"/>
              <w:rPr>
                <w:rFonts w:cs="Times New Roman"/>
                <w:color w:val="auto"/>
                <w:sz w:val="21"/>
                <w:szCs w:val="21"/>
              </w:rPr>
            </w:pPr>
            <w:r>
              <w:rPr>
                <w:rFonts w:cs="Times New Roman"/>
                <w:color w:val="auto"/>
                <w:sz w:val="21"/>
                <w:szCs w:val="21"/>
              </w:rPr>
              <w:t>93.8</w:t>
            </w:r>
          </w:p>
        </w:tc>
        <w:tc>
          <w:tcPr>
            <w:tcW w:w="568" w:type="dxa"/>
            <w:vAlign w:val="center"/>
          </w:tcPr>
          <w:p>
            <w:pPr>
              <w:autoSpaceDE w:val="0"/>
              <w:autoSpaceDN w:val="0"/>
              <w:adjustRightInd w:val="0"/>
              <w:spacing w:before="31" w:beforeLines="10" w:after="31" w:afterLines="10" w:line="288" w:lineRule="auto"/>
              <w:ind w:firstLine="0" w:firstLineChars="0"/>
              <w:jc w:val="center"/>
              <w:rPr>
                <w:rFonts w:cs="Times New Roman"/>
                <w:color w:val="auto"/>
                <w:sz w:val="21"/>
                <w:szCs w:val="21"/>
              </w:rPr>
            </w:pPr>
            <w:r>
              <w:rPr>
                <w:rFonts w:cs="Times New Roman"/>
                <w:color w:val="auto"/>
                <w:sz w:val="21"/>
                <w:szCs w:val="21"/>
              </w:rPr>
              <w:t>-0.2</w:t>
            </w:r>
          </w:p>
        </w:tc>
        <w:tc>
          <w:tcPr>
            <w:tcW w:w="882" w:type="dxa"/>
            <w:vAlign w:val="center"/>
          </w:tcPr>
          <w:p>
            <w:pPr>
              <w:autoSpaceDE w:val="0"/>
              <w:autoSpaceDN w:val="0"/>
              <w:adjustRightInd w:val="0"/>
              <w:spacing w:before="31" w:beforeLines="10" w:after="31" w:afterLines="10" w:line="288" w:lineRule="auto"/>
              <w:ind w:firstLine="0" w:firstLineChars="0"/>
              <w:jc w:val="center"/>
              <w:rPr>
                <w:rFonts w:cs="Times New Roman"/>
                <w:color w:val="auto"/>
                <w:sz w:val="21"/>
                <w:szCs w:val="21"/>
              </w:rPr>
            </w:pPr>
            <w:r>
              <w:rPr>
                <w:rFonts w:ascii="宋体" w:hAnsi="宋体" w:cs="Times New Roman"/>
                <w:color w:val="auto"/>
                <w:sz w:val="21"/>
                <w:szCs w:val="21"/>
              </w:rPr>
              <w:t>合格</w:t>
            </w:r>
          </w:p>
        </w:tc>
      </w:tr>
    </w:tbl>
    <w:p>
      <w:pPr>
        <w:spacing w:before="156" w:beforeLines="50" w:line="240" w:lineRule="auto"/>
        <w:ind w:firstLine="480"/>
        <w:rPr>
          <w:rFonts w:cs="Times New Roman"/>
          <w:b/>
          <w:bCs/>
          <w:color w:val="auto"/>
          <w:sz w:val="21"/>
          <w:szCs w:val="21"/>
        </w:rPr>
      </w:pPr>
      <w:r>
        <w:rPr>
          <w:rFonts w:hint="eastAsia" w:ascii="宋体" w:hAnsi="宋体" w:cs="Calibri"/>
          <w:color w:val="auto"/>
        </w:rPr>
        <w:t>项目验收监测噪声监测质控结果详见附件</w:t>
      </w:r>
      <w:r>
        <w:rPr>
          <w:rFonts w:hint="eastAsia" w:ascii="Calibri" w:hAnsi="Calibri" w:cs="Calibri"/>
          <w:color w:val="auto"/>
        </w:rPr>
        <w:t>7</w:t>
      </w:r>
      <w:r>
        <w:rPr>
          <w:rFonts w:hint="eastAsia" w:ascii="宋体" w:hAnsi="宋体" w:cs="Calibri"/>
          <w:color w:val="auto"/>
        </w:rPr>
        <w:t>验收监测报告。</w:t>
      </w:r>
    </w:p>
    <w:p>
      <w:pPr>
        <w:spacing w:line="240" w:lineRule="auto"/>
        <w:ind w:firstLine="0" w:firstLineChars="0"/>
        <w:rPr>
          <w:rFonts w:cs="Times New Roman"/>
          <w:color w:val="auto"/>
          <w:sz w:val="21"/>
          <w:szCs w:val="21"/>
        </w:rPr>
      </w:pPr>
      <w:r>
        <w:rPr>
          <w:rFonts w:cs="Times New Roman"/>
          <w:color w:val="auto"/>
          <w:sz w:val="21"/>
          <w:szCs w:val="21"/>
        </w:rPr>
        <w:br w:type="page"/>
      </w:r>
    </w:p>
    <w:p>
      <w:pPr>
        <w:pStyle w:val="2"/>
        <w:rPr>
          <w:color w:val="auto"/>
        </w:rPr>
      </w:pPr>
      <w:bookmarkStart w:id="89" w:name="_Toc27715"/>
      <w:r>
        <w:rPr>
          <w:rFonts w:hint="eastAsia"/>
          <w:color w:val="auto"/>
        </w:rPr>
        <w:t>验收监测结果</w:t>
      </w:r>
      <w:bookmarkEnd w:id="89"/>
    </w:p>
    <w:p>
      <w:pPr>
        <w:pStyle w:val="3"/>
        <w:rPr>
          <w:color w:val="auto"/>
        </w:rPr>
      </w:pPr>
      <w:bookmarkStart w:id="90" w:name="_Toc22409"/>
      <w:r>
        <w:rPr>
          <w:rFonts w:hint="eastAsia"/>
          <w:color w:val="auto"/>
        </w:rPr>
        <w:t>环保设施调试运行效果</w:t>
      </w:r>
      <w:bookmarkEnd w:id="90"/>
      <w:r>
        <w:rPr>
          <w:rFonts w:hint="eastAsia"/>
          <w:color w:val="auto"/>
        </w:rPr>
        <w:t xml:space="preserve"> </w:t>
      </w:r>
    </w:p>
    <w:p>
      <w:pPr>
        <w:pStyle w:val="4"/>
        <w:rPr>
          <w:color w:val="auto"/>
        </w:rPr>
      </w:pPr>
      <w:bookmarkStart w:id="91" w:name="_Toc156491677"/>
      <w:bookmarkStart w:id="92" w:name="_Toc164292300"/>
      <w:bookmarkStart w:id="93" w:name="_Toc28232"/>
      <w:r>
        <w:rPr>
          <w:rFonts w:hint="eastAsia"/>
          <w:color w:val="auto"/>
        </w:rPr>
        <w:t>废水</w:t>
      </w:r>
      <w:bookmarkEnd w:id="91"/>
      <w:bookmarkEnd w:id="92"/>
      <w:bookmarkEnd w:id="93"/>
    </w:p>
    <w:p>
      <w:pPr>
        <w:pStyle w:val="37"/>
        <w:rPr>
          <w:color w:val="auto"/>
        </w:rPr>
      </w:pPr>
      <w:r>
        <w:rPr>
          <w:rFonts w:hint="eastAsia"/>
          <w:color w:val="auto"/>
        </w:rPr>
        <w:t>表 9.1</w:t>
      </w:r>
      <w:r>
        <w:rPr>
          <w:color w:val="auto"/>
        </w:rPr>
        <w:noBreakHyphen/>
      </w:r>
      <w:r>
        <w:rPr>
          <w:color w:val="auto"/>
        </w:rPr>
        <w:fldChar w:fldCharType="begin"/>
      </w:r>
      <w:r>
        <w:rPr>
          <w:color w:val="auto"/>
        </w:rPr>
        <w:instrText xml:space="preserve"> </w:instrText>
      </w:r>
      <w:r>
        <w:rPr>
          <w:rFonts w:hint="eastAsia"/>
          <w:color w:val="auto"/>
        </w:rPr>
        <w:instrText xml:space="preserve">SEQ 表 \* ARABIC \s 2</w:instrText>
      </w:r>
      <w:r>
        <w:rPr>
          <w:color w:val="auto"/>
        </w:rPr>
        <w:instrText xml:space="preserve"> </w:instrText>
      </w:r>
      <w:r>
        <w:rPr>
          <w:color w:val="auto"/>
        </w:rPr>
        <w:fldChar w:fldCharType="separate"/>
      </w:r>
      <w:r>
        <w:rPr>
          <w:color w:val="auto"/>
        </w:rPr>
        <w:t>1</w:t>
      </w:r>
      <w:r>
        <w:rPr>
          <w:color w:val="auto"/>
        </w:rPr>
        <w:fldChar w:fldCharType="end"/>
      </w:r>
      <w:r>
        <w:rPr>
          <w:color w:val="auto"/>
        </w:rPr>
        <w:t xml:space="preserve"> </w:t>
      </w:r>
      <w:r>
        <w:rPr>
          <w:rFonts w:hint="eastAsia"/>
          <w:color w:val="auto"/>
        </w:rPr>
        <w:t>废水检测结果</w:t>
      </w:r>
    </w:p>
    <w:tbl>
      <w:tblPr>
        <w:tblStyle w:val="24"/>
        <w:tblW w:w="8316"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116"/>
        <w:gridCol w:w="1103"/>
        <w:gridCol w:w="1648"/>
        <w:gridCol w:w="790"/>
        <w:gridCol w:w="790"/>
        <w:gridCol w:w="790"/>
        <w:gridCol w:w="790"/>
        <w:gridCol w:w="620"/>
        <w:gridCol w:w="66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448" w:hRule="atLeast"/>
          <w:jc w:val="center"/>
        </w:trPr>
        <w:tc>
          <w:tcPr>
            <w:tcW w:w="1116" w:type="dxa"/>
            <w:vMerge w:val="restart"/>
            <w:tcBorders>
              <w:top w:val="single" w:color="auto" w:sz="4" w:space="0"/>
              <w:left w:val="single" w:color="000000" w:sz="4" w:space="0"/>
              <w:bottom w:val="single" w:color="000000" w:sz="4" w:space="0"/>
              <w:right w:val="single" w:color="auto" w:sz="4" w:space="0"/>
            </w:tcBorders>
            <w:vAlign w:val="center"/>
          </w:tcPr>
          <w:p>
            <w:pPr>
              <w:spacing w:before="92" w:line="240" w:lineRule="auto"/>
              <w:ind w:right="65" w:firstLine="0" w:firstLineChars="0"/>
              <w:rPr>
                <w:rFonts w:cs="Times New Roman"/>
                <w:b/>
                <w:bCs/>
                <w:color w:val="auto"/>
                <w:sz w:val="21"/>
                <w:szCs w:val="21"/>
              </w:rPr>
            </w:pPr>
            <w:bookmarkStart w:id="94" w:name="_Hlk214916002"/>
            <w:r>
              <w:rPr>
                <w:rFonts w:ascii="宋体" w:hAnsi="宋体" w:cs="Times New Roman"/>
                <w:b/>
                <w:bCs/>
                <w:color w:val="auto"/>
                <w:sz w:val="21"/>
                <w:szCs w:val="21"/>
              </w:rPr>
              <w:t>检测日期</w:t>
            </w:r>
          </w:p>
        </w:tc>
        <w:tc>
          <w:tcPr>
            <w:tcW w:w="1103" w:type="dxa"/>
            <w:vMerge w:val="restart"/>
            <w:tcBorders>
              <w:top w:val="single" w:color="auto" w:sz="4" w:space="0"/>
              <w:left w:val="nil"/>
              <w:bottom w:val="single" w:color="000000" w:sz="4" w:space="0"/>
              <w:right w:val="single" w:color="auto" w:sz="4" w:space="0"/>
            </w:tcBorders>
            <w:vAlign w:val="center"/>
          </w:tcPr>
          <w:p>
            <w:pPr>
              <w:spacing w:before="92" w:line="240" w:lineRule="auto"/>
              <w:ind w:left="17" w:right="5" w:hanging="17" w:hangingChars="8"/>
              <w:jc w:val="center"/>
              <w:rPr>
                <w:rFonts w:cs="Times New Roman"/>
                <w:b/>
                <w:bCs/>
                <w:color w:val="auto"/>
                <w:sz w:val="21"/>
                <w:szCs w:val="21"/>
              </w:rPr>
            </w:pPr>
            <w:r>
              <w:rPr>
                <w:rFonts w:ascii="宋体" w:hAnsi="宋体" w:cs="Times New Roman"/>
                <w:b/>
                <w:bCs/>
                <w:color w:val="auto"/>
                <w:sz w:val="21"/>
                <w:szCs w:val="21"/>
              </w:rPr>
              <w:t>检测点位</w:t>
            </w:r>
          </w:p>
        </w:tc>
        <w:tc>
          <w:tcPr>
            <w:tcW w:w="1648" w:type="dxa"/>
            <w:vMerge w:val="restart"/>
            <w:tcBorders>
              <w:top w:val="single" w:color="auto" w:sz="4" w:space="0"/>
              <w:left w:val="nil"/>
              <w:bottom w:val="single" w:color="000000" w:sz="4" w:space="0"/>
              <w:right w:val="single" w:color="000000" w:sz="4" w:space="0"/>
            </w:tcBorders>
            <w:vAlign w:val="center"/>
          </w:tcPr>
          <w:p>
            <w:pPr>
              <w:spacing w:before="92" w:line="240" w:lineRule="auto"/>
              <w:ind w:left="17" w:right="137" w:hanging="17" w:hangingChars="8"/>
              <w:jc w:val="center"/>
              <w:rPr>
                <w:rFonts w:cs="Times New Roman"/>
                <w:b/>
                <w:bCs/>
                <w:color w:val="auto"/>
                <w:sz w:val="21"/>
                <w:szCs w:val="21"/>
              </w:rPr>
            </w:pPr>
            <w:r>
              <w:rPr>
                <w:rFonts w:ascii="宋体" w:hAnsi="宋体" w:cs="Times New Roman"/>
                <w:b/>
                <w:bCs/>
                <w:color w:val="auto"/>
                <w:sz w:val="21"/>
                <w:szCs w:val="21"/>
              </w:rPr>
              <w:t>检测项目</w:t>
            </w:r>
          </w:p>
        </w:tc>
        <w:tc>
          <w:tcPr>
            <w:tcW w:w="3160" w:type="dxa"/>
            <w:gridSpan w:val="4"/>
            <w:tcBorders>
              <w:top w:val="single" w:color="auto" w:sz="4" w:space="0"/>
              <w:left w:val="single" w:color="000000" w:sz="4" w:space="0"/>
              <w:bottom w:val="single" w:color="000000" w:sz="4" w:space="0"/>
              <w:right w:val="single" w:color="000000" w:sz="4" w:space="0"/>
            </w:tcBorders>
            <w:vAlign w:val="center"/>
          </w:tcPr>
          <w:p>
            <w:pPr>
              <w:autoSpaceDE w:val="0"/>
              <w:spacing w:line="240" w:lineRule="auto"/>
              <w:ind w:left="17" w:hanging="17" w:hangingChars="8"/>
              <w:jc w:val="center"/>
              <w:rPr>
                <w:rFonts w:cs="Times New Roman"/>
                <w:b/>
                <w:bCs/>
                <w:color w:val="auto"/>
                <w:sz w:val="21"/>
                <w:szCs w:val="21"/>
              </w:rPr>
            </w:pPr>
            <w:r>
              <w:rPr>
                <w:rFonts w:ascii="宋体" w:hAnsi="宋体" w:cs="Times New Roman"/>
                <w:b/>
                <w:bCs/>
                <w:color w:val="auto"/>
                <w:sz w:val="21"/>
                <w:szCs w:val="21"/>
              </w:rPr>
              <w:t>检测结果</w:t>
            </w:r>
          </w:p>
        </w:tc>
        <w:tc>
          <w:tcPr>
            <w:tcW w:w="620" w:type="dxa"/>
            <w:vMerge w:val="restart"/>
            <w:tcBorders>
              <w:top w:val="single" w:color="auto" w:sz="4" w:space="0"/>
              <w:left w:val="single" w:color="000000" w:sz="4" w:space="0"/>
              <w:bottom w:val="single" w:color="000000" w:sz="4" w:space="0"/>
              <w:right w:val="single" w:color="auto" w:sz="4" w:space="0"/>
            </w:tcBorders>
            <w:vAlign w:val="center"/>
          </w:tcPr>
          <w:p>
            <w:pPr>
              <w:autoSpaceDE w:val="0"/>
              <w:spacing w:line="240" w:lineRule="auto"/>
              <w:ind w:firstLine="0" w:firstLineChars="0"/>
              <w:jc w:val="center"/>
              <w:rPr>
                <w:rFonts w:cs="Times New Roman"/>
                <w:b/>
                <w:bCs/>
                <w:color w:val="auto"/>
                <w:sz w:val="21"/>
                <w:szCs w:val="21"/>
              </w:rPr>
            </w:pPr>
            <w:r>
              <w:rPr>
                <w:rFonts w:ascii="宋体" w:hAnsi="宋体" w:cs="Times New Roman"/>
                <w:b/>
                <w:bCs/>
                <w:color w:val="auto"/>
                <w:sz w:val="21"/>
                <w:szCs w:val="21"/>
              </w:rPr>
              <w:t>标准</w:t>
            </w:r>
          </w:p>
          <w:p>
            <w:pPr>
              <w:autoSpaceDE w:val="0"/>
              <w:spacing w:line="240" w:lineRule="auto"/>
              <w:ind w:firstLine="0" w:firstLineChars="0"/>
              <w:jc w:val="center"/>
              <w:rPr>
                <w:rFonts w:cs="Times New Roman"/>
                <w:b/>
                <w:bCs/>
                <w:color w:val="auto"/>
                <w:sz w:val="21"/>
                <w:szCs w:val="21"/>
              </w:rPr>
            </w:pPr>
            <w:r>
              <w:rPr>
                <w:rFonts w:ascii="宋体" w:hAnsi="宋体" w:cs="Times New Roman"/>
                <w:b/>
                <w:bCs/>
                <w:color w:val="auto"/>
                <w:sz w:val="21"/>
                <w:szCs w:val="21"/>
              </w:rPr>
              <w:t>限值</w:t>
            </w:r>
          </w:p>
        </w:tc>
        <w:tc>
          <w:tcPr>
            <w:tcW w:w="669" w:type="dxa"/>
            <w:vMerge w:val="restart"/>
            <w:tcBorders>
              <w:top w:val="single" w:color="auto" w:sz="4" w:space="0"/>
              <w:left w:val="nil"/>
              <w:bottom w:val="single" w:color="000000" w:sz="4" w:space="0"/>
              <w:right w:val="single" w:color="000000" w:sz="4" w:space="0"/>
            </w:tcBorders>
            <w:vAlign w:val="center"/>
          </w:tcPr>
          <w:p>
            <w:pPr>
              <w:autoSpaceDE w:val="0"/>
              <w:spacing w:line="240" w:lineRule="auto"/>
              <w:ind w:firstLine="0" w:firstLineChars="0"/>
              <w:jc w:val="center"/>
              <w:rPr>
                <w:rFonts w:cs="Times New Roman"/>
                <w:b/>
                <w:bCs/>
                <w:color w:val="auto"/>
                <w:sz w:val="21"/>
                <w:szCs w:val="21"/>
              </w:rPr>
            </w:pPr>
            <w:r>
              <w:rPr>
                <w:rFonts w:ascii="宋体" w:hAnsi="宋体" w:cs="Times New Roman"/>
                <w:b/>
                <w:bCs/>
                <w:color w:val="auto"/>
                <w:sz w:val="21"/>
                <w:szCs w:val="21"/>
              </w:rPr>
              <w:t>单位</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450" w:hRule="atLeast"/>
          <w:jc w:val="center"/>
        </w:trPr>
        <w:tc>
          <w:tcPr>
            <w:tcW w:w="1116" w:type="dxa"/>
            <w:vMerge w:val="continue"/>
            <w:tcBorders>
              <w:top w:val="single" w:color="auto" w:sz="4" w:space="0"/>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b/>
                <w:bCs/>
                <w:color w:val="auto"/>
                <w:sz w:val="21"/>
                <w:szCs w:val="21"/>
              </w:rPr>
            </w:pPr>
          </w:p>
        </w:tc>
        <w:tc>
          <w:tcPr>
            <w:tcW w:w="1103" w:type="dxa"/>
            <w:vMerge w:val="continue"/>
            <w:tcBorders>
              <w:top w:val="single" w:color="auto" w:sz="4" w:space="0"/>
              <w:left w:val="nil"/>
              <w:bottom w:val="single" w:color="000000" w:sz="4" w:space="0"/>
              <w:right w:val="single" w:color="auto" w:sz="4" w:space="0"/>
            </w:tcBorders>
            <w:vAlign w:val="center"/>
          </w:tcPr>
          <w:p>
            <w:pPr>
              <w:widowControl/>
              <w:spacing w:line="240" w:lineRule="auto"/>
              <w:ind w:firstLine="0" w:firstLineChars="0"/>
              <w:jc w:val="left"/>
              <w:rPr>
                <w:rFonts w:cs="Times New Roman"/>
                <w:b/>
                <w:bCs/>
                <w:color w:val="auto"/>
                <w:sz w:val="21"/>
                <w:szCs w:val="21"/>
              </w:rPr>
            </w:pPr>
          </w:p>
        </w:tc>
        <w:tc>
          <w:tcPr>
            <w:tcW w:w="1648" w:type="dxa"/>
            <w:vMerge w:val="continue"/>
            <w:tcBorders>
              <w:top w:val="single" w:color="auto" w:sz="4" w:space="0"/>
              <w:left w:val="nil"/>
              <w:bottom w:val="single" w:color="000000" w:sz="4" w:space="0"/>
              <w:right w:val="single" w:color="000000" w:sz="4" w:space="0"/>
            </w:tcBorders>
            <w:vAlign w:val="center"/>
          </w:tcPr>
          <w:p>
            <w:pPr>
              <w:widowControl/>
              <w:spacing w:line="240" w:lineRule="auto"/>
              <w:ind w:firstLine="0" w:firstLineChars="0"/>
              <w:jc w:val="left"/>
              <w:rPr>
                <w:rFonts w:cs="Times New Roman"/>
                <w:b/>
                <w:bCs/>
                <w:color w:val="auto"/>
                <w:sz w:val="21"/>
                <w:szCs w:val="21"/>
              </w:rPr>
            </w:pPr>
          </w:p>
        </w:tc>
        <w:tc>
          <w:tcPr>
            <w:tcW w:w="790" w:type="dxa"/>
            <w:tcBorders>
              <w:top w:val="single" w:color="auto" w:sz="4" w:space="0"/>
              <w:left w:val="single" w:color="000000" w:sz="4" w:space="0"/>
              <w:bottom w:val="single" w:color="000000" w:sz="4" w:space="0"/>
              <w:right w:val="single" w:color="000000" w:sz="4" w:space="0"/>
            </w:tcBorders>
            <w:vAlign w:val="center"/>
          </w:tcPr>
          <w:p>
            <w:pPr>
              <w:autoSpaceDE w:val="0"/>
              <w:spacing w:line="240" w:lineRule="auto"/>
              <w:ind w:firstLine="0" w:firstLineChars="0"/>
              <w:jc w:val="center"/>
              <w:rPr>
                <w:rFonts w:cs="Times New Roman"/>
                <w:b/>
                <w:bCs/>
                <w:color w:val="auto"/>
                <w:sz w:val="21"/>
                <w:szCs w:val="21"/>
              </w:rPr>
            </w:pPr>
            <w:r>
              <w:rPr>
                <w:rFonts w:ascii="宋体" w:hAnsi="宋体" w:cs="Times New Roman"/>
                <w:b/>
                <w:bCs/>
                <w:color w:val="auto"/>
                <w:sz w:val="21"/>
                <w:szCs w:val="21"/>
              </w:rPr>
              <w:t>第</w:t>
            </w:r>
            <w:r>
              <w:rPr>
                <w:rFonts w:cs="Times New Roman"/>
                <w:b/>
                <w:bCs/>
                <w:color w:val="auto"/>
                <w:sz w:val="21"/>
                <w:szCs w:val="21"/>
              </w:rPr>
              <w:t>1</w:t>
            </w:r>
            <w:r>
              <w:rPr>
                <w:rFonts w:ascii="宋体" w:hAnsi="宋体" w:cs="Times New Roman"/>
                <w:b/>
                <w:bCs/>
                <w:color w:val="auto"/>
                <w:sz w:val="21"/>
                <w:szCs w:val="21"/>
              </w:rPr>
              <w:t>次</w:t>
            </w:r>
          </w:p>
        </w:tc>
        <w:tc>
          <w:tcPr>
            <w:tcW w:w="790" w:type="dxa"/>
            <w:tcBorders>
              <w:top w:val="single" w:color="auto" w:sz="4" w:space="0"/>
              <w:left w:val="single" w:color="000000" w:sz="4" w:space="0"/>
              <w:bottom w:val="single" w:color="000000" w:sz="4" w:space="0"/>
              <w:right w:val="single" w:color="000000" w:sz="4" w:space="0"/>
            </w:tcBorders>
            <w:vAlign w:val="center"/>
          </w:tcPr>
          <w:p>
            <w:pPr>
              <w:autoSpaceDE w:val="0"/>
              <w:spacing w:line="240" w:lineRule="auto"/>
              <w:ind w:firstLine="0" w:firstLineChars="0"/>
              <w:jc w:val="center"/>
              <w:rPr>
                <w:rFonts w:cs="Times New Roman"/>
                <w:b/>
                <w:bCs/>
                <w:color w:val="auto"/>
                <w:sz w:val="21"/>
                <w:szCs w:val="21"/>
              </w:rPr>
            </w:pPr>
            <w:r>
              <w:rPr>
                <w:rFonts w:ascii="宋体" w:hAnsi="宋体" w:cs="Times New Roman"/>
                <w:b/>
                <w:bCs/>
                <w:color w:val="auto"/>
                <w:sz w:val="21"/>
                <w:szCs w:val="21"/>
              </w:rPr>
              <w:t>第</w:t>
            </w:r>
            <w:r>
              <w:rPr>
                <w:rFonts w:cs="Times New Roman"/>
                <w:b/>
                <w:bCs/>
                <w:color w:val="auto"/>
                <w:sz w:val="21"/>
                <w:szCs w:val="21"/>
              </w:rPr>
              <w:t>2</w:t>
            </w:r>
            <w:r>
              <w:rPr>
                <w:rFonts w:ascii="宋体" w:hAnsi="宋体" w:cs="Times New Roman"/>
                <w:b/>
                <w:bCs/>
                <w:color w:val="auto"/>
                <w:sz w:val="21"/>
                <w:szCs w:val="21"/>
              </w:rPr>
              <w:t>次</w:t>
            </w:r>
          </w:p>
        </w:tc>
        <w:tc>
          <w:tcPr>
            <w:tcW w:w="790" w:type="dxa"/>
            <w:tcBorders>
              <w:top w:val="single" w:color="auto" w:sz="4" w:space="0"/>
              <w:left w:val="single" w:color="000000" w:sz="4" w:space="0"/>
              <w:bottom w:val="single" w:color="000000" w:sz="4" w:space="0"/>
              <w:right w:val="single" w:color="000000" w:sz="4" w:space="0"/>
            </w:tcBorders>
            <w:vAlign w:val="center"/>
          </w:tcPr>
          <w:p>
            <w:pPr>
              <w:autoSpaceDE w:val="0"/>
              <w:spacing w:line="240" w:lineRule="auto"/>
              <w:ind w:firstLine="0" w:firstLineChars="0"/>
              <w:jc w:val="center"/>
              <w:rPr>
                <w:rFonts w:cs="Times New Roman"/>
                <w:b/>
                <w:bCs/>
                <w:color w:val="auto"/>
                <w:sz w:val="21"/>
                <w:szCs w:val="21"/>
              </w:rPr>
            </w:pPr>
            <w:r>
              <w:rPr>
                <w:rFonts w:ascii="宋体" w:hAnsi="宋体" w:cs="Times New Roman"/>
                <w:b/>
                <w:bCs/>
                <w:color w:val="auto"/>
                <w:sz w:val="21"/>
                <w:szCs w:val="21"/>
              </w:rPr>
              <w:t>第</w:t>
            </w:r>
            <w:r>
              <w:rPr>
                <w:rFonts w:cs="Times New Roman"/>
                <w:b/>
                <w:bCs/>
                <w:color w:val="auto"/>
                <w:sz w:val="21"/>
                <w:szCs w:val="21"/>
              </w:rPr>
              <w:t>3</w:t>
            </w:r>
            <w:r>
              <w:rPr>
                <w:rFonts w:ascii="宋体" w:hAnsi="宋体" w:cs="Times New Roman"/>
                <w:b/>
                <w:bCs/>
                <w:color w:val="auto"/>
                <w:sz w:val="21"/>
                <w:szCs w:val="21"/>
              </w:rPr>
              <w:t>次</w:t>
            </w:r>
          </w:p>
        </w:tc>
        <w:tc>
          <w:tcPr>
            <w:tcW w:w="790" w:type="dxa"/>
            <w:tcBorders>
              <w:top w:val="single" w:color="auto" w:sz="4" w:space="0"/>
              <w:left w:val="single" w:color="000000" w:sz="4" w:space="0"/>
              <w:bottom w:val="single" w:color="000000" w:sz="4" w:space="0"/>
              <w:right w:val="single" w:color="000000" w:sz="4" w:space="0"/>
            </w:tcBorders>
            <w:vAlign w:val="center"/>
          </w:tcPr>
          <w:p>
            <w:pPr>
              <w:autoSpaceDE w:val="0"/>
              <w:spacing w:line="240" w:lineRule="auto"/>
              <w:ind w:firstLine="0" w:firstLineChars="0"/>
              <w:jc w:val="center"/>
              <w:rPr>
                <w:rFonts w:cs="Times New Roman"/>
                <w:b/>
                <w:bCs/>
                <w:color w:val="auto"/>
                <w:sz w:val="21"/>
                <w:szCs w:val="21"/>
              </w:rPr>
            </w:pPr>
            <w:r>
              <w:rPr>
                <w:rFonts w:ascii="宋体" w:hAnsi="宋体" w:cs="Times New Roman"/>
                <w:b/>
                <w:bCs/>
                <w:color w:val="auto"/>
                <w:sz w:val="21"/>
                <w:szCs w:val="21"/>
              </w:rPr>
              <w:t>第</w:t>
            </w:r>
            <w:r>
              <w:rPr>
                <w:rFonts w:cs="Times New Roman"/>
                <w:b/>
                <w:bCs/>
                <w:color w:val="auto"/>
                <w:sz w:val="21"/>
                <w:szCs w:val="21"/>
              </w:rPr>
              <w:t>4</w:t>
            </w:r>
            <w:r>
              <w:rPr>
                <w:rFonts w:ascii="宋体" w:hAnsi="宋体" w:cs="Times New Roman"/>
                <w:b/>
                <w:bCs/>
                <w:color w:val="auto"/>
                <w:sz w:val="21"/>
                <w:szCs w:val="21"/>
              </w:rPr>
              <w:t>次</w:t>
            </w:r>
          </w:p>
        </w:tc>
        <w:tc>
          <w:tcPr>
            <w:tcW w:w="620" w:type="dxa"/>
            <w:vMerge w:val="continue"/>
            <w:tcBorders>
              <w:top w:val="single" w:color="auto" w:sz="4" w:space="0"/>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b/>
                <w:bCs/>
                <w:color w:val="auto"/>
                <w:sz w:val="21"/>
                <w:szCs w:val="21"/>
              </w:rPr>
            </w:pPr>
          </w:p>
        </w:tc>
        <w:tc>
          <w:tcPr>
            <w:tcW w:w="669" w:type="dxa"/>
            <w:vMerge w:val="continue"/>
            <w:tcBorders>
              <w:top w:val="single" w:color="auto" w:sz="4" w:space="0"/>
              <w:left w:val="nil"/>
              <w:bottom w:val="single" w:color="000000" w:sz="4" w:space="0"/>
              <w:right w:val="single" w:color="000000" w:sz="4" w:space="0"/>
            </w:tcBorders>
            <w:vAlign w:val="center"/>
          </w:tcPr>
          <w:p>
            <w:pPr>
              <w:widowControl/>
              <w:spacing w:line="240" w:lineRule="auto"/>
              <w:ind w:firstLine="0" w:firstLineChars="0"/>
              <w:jc w:val="left"/>
              <w:rPr>
                <w:rFonts w:cs="Times New Roman"/>
                <w:b/>
                <w:bCs/>
                <w:color w:val="auto"/>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97" w:hRule="atLeast"/>
          <w:jc w:val="center"/>
        </w:trPr>
        <w:tc>
          <w:tcPr>
            <w:tcW w:w="1116" w:type="dxa"/>
            <w:vMerge w:val="restart"/>
            <w:tcBorders>
              <w:top w:val="nil"/>
              <w:left w:val="single" w:color="000000" w:sz="4" w:space="0"/>
              <w:bottom w:val="single" w:color="000000" w:sz="4" w:space="0"/>
              <w:right w:val="single" w:color="auto"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2025.12.10</w:t>
            </w:r>
          </w:p>
        </w:tc>
        <w:tc>
          <w:tcPr>
            <w:tcW w:w="1103" w:type="dxa"/>
            <w:vMerge w:val="restart"/>
            <w:tcBorders>
              <w:top w:val="nil"/>
              <w:left w:val="nil"/>
              <w:bottom w:val="single" w:color="000000" w:sz="4" w:space="0"/>
              <w:right w:val="single" w:color="auto" w:sz="4" w:space="0"/>
            </w:tcBorders>
            <w:vAlign w:val="center"/>
          </w:tcPr>
          <w:p>
            <w:pPr>
              <w:autoSpaceDE w:val="0"/>
              <w:spacing w:line="240" w:lineRule="auto"/>
              <w:ind w:firstLine="0" w:firstLineChars="0"/>
              <w:jc w:val="center"/>
              <w:rPr>
                <w:rFonts w:cs="Times New Roman"/>
                <w:color w:val="auto"/>
                <w:sz w:val="21"/>
                <w:szCs w:val="21"/>
              </w:rPr>
            </w:pPr>
            <w:r>
              <w:rPr>
                <w:rFonts w:ascii="宋体" w:hAnsi="宋体" w:cs="Times New Roman"/>
                <w:color w:val="auto"/>
                <w:sz w:val="21"/>
                <w:szCs w:val="21"/>
              </w:rPr>
              <w:t>生活污水排放口</w:t>
            </w:r>
            <w:r>
              <w:rPr>
                <w:rFonts w:cs="Times New Roman"/>
                <w:color w:val="auto"/>
                <w:sz w:val="21"/>
                <w:szCs w:val="21"/>
              </w:rPr>
              <w:t>W1</w:t>
            </w:r>
          </w:p>
        </w:tc>
        <w:tc>
          <w:tcPr>
            <w:tcW w:w="1648" w:type="dxa"/>
            <w:tcBorders>
              <w:top w:val="single" w:color="auto" w:sz="4" w:space="0"/>
              <w:left w:val="nil"/>
              <w:bottom w:val="single" w:color="000000" w:sz="4" w:space="0"/>
              <w:right w:val="single" w:color="auto"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pH</w:t>
            </w:r>
            <w:r>
              <w:rPr>
                <w:rFonts w:ascii="宋体" w:hAnsi="宋体" w:cs="Times New Roman"/>
                <w:color w:val="auto"/>
                <w:sz w:val="21"/>
                <w:szCs w:val="21"/>
              </w:rPr>
              <w:t xml:space="preserve">值 </w:t>
            </w:r>
          </w:p>
        </w:tc>
        <w:tc>
          <w:tcPr>
            <w:tcW w:w="790" w:type="dxa"/>
            <w:tcBorders>
              <w:top w:val="single" w:color="auto" w:sz="4" w:space="0"/>
              <w:left w:val="nil"/>
              <w:bottom w:val="single" w:color="auto"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7.0</w:t>
            </w:r>
          </w:p>
        </w:tc>
        <w:tc>
          <w:tcPr>
            <w:tcW w:w="790" w:type="dxa"/>
            <w:tcBorders>
              <w:top w:val="single" w:color="auto" w:sz="4" w:space="0"/>
              <w:left w:val="single" w:color="000000" w:sz="4" w:space="0"/>
              <w:bottom w:val="single" w:color="auto"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6.9</w:t>
            </w:r>
          </w:p>
        </w:tc>
        <w:tc>
          <w:tcPr>
            <w:tcW w:w="790" w:type="dxa"/>
            <w:tcBorders>
              <w:top w:val="single" w:color="auto" w:sz="4" w:space="0"/>
              <w:left w:val="single" w:color="000000" w:sz="4" w:space="0"/>
              <w:bottom w:val="single" w:color="auto"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7.0</w:t>
            </w:r>
          </w:p>
        </w:tc>
        <w:tc>
          <w:tcPr>
            <w:tcW w:w="790" w:type="dxa"/>
            <w:tcBorders>
              <w:top w:val="single" w:color="auto" w:sz="4" w:space="0"/>
              <w:left w:val="single" w:color="000000" w:sz="4" w:space="0"/>
              <w:bottom w:val="single" w:color="auto"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7.1</w:t>
            </w:r>
          </w:p>
        </w:tc>
        <w:tc>
          <w:tcPr>
            <w:tcW w:w="620" w:type="dxa"/>
            <w:tcBorders>
              <w:top w:val="single" w:color="auto" w:sz="4" w:space="0"/>
              <w:left w:val="single" w:color="000000" w:sz="4" w:space="0"/>
              <w:bottom w:val="single" w:color="000000" w:sz="4" w:space="0"/>
              <w:right w:val="single" w:color="auto"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6-9</w:t>
            </w:r>
          </w:p>
        </w:tc>
        <w:tc>
          <w:tcPr>
            <w:tcW w:w="669" w:type="dxa"/>
            <w:tcBorders>
              <w:top w:val="single" w:color="auto" w:sz="4" w:space="0"/>
              <w:left w:val="nil"/>
              <w:bottom w:val="single" w:color="000000"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ascii="宋体" w:hAnsi="宋体" w:cs="Times New Roman"/>
                <w:color w:val="auto"/>
                <w:sz w:val="21"/>
                <w:szCs w:val="21"/>
              </w:rPr>
              <w:t>无量纲</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97" w:hRule="atLeast"/>
          <w:jc w:val="center"/>
        </w:trPr>
        <w:tc>
          <w:tcPr>
            <w:tcW w:w="1116"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103" w:type="dxa"/>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648" w:type="dxa"/>
            <w:tcBorders>
              <w:top w:val="single" w:color="auto" w:sz="4" w:space="0"/>
              <w:left w:val="nil"/>
              <w:bottom w:val="single" w:color="000000" w:sz="4" w:space="0"/>
              <w:right w:val="single" w:color="auto" w:sz="4" w:space="0"/>
            </w:tcBorders>
            <w:vAlign w:val="center"/>
          </w:tcPr>
          <w:p>
            <w:pPr>
              <w:autoSpaceDE w:val="0"/>
              <w:spacing w:line="240" w:lineRule="auto"/>
              <w:ind w:firstLine="0" w:firstLineChars="0"/>
              <w:jc w:val="center"/>
              <w:rPr>
                <w:rFonts w:cs="Times New Roman"/>
                <w:color w:val="auto"/>
                <w:sz w:val="21"/>
                <w:szCs w:val="21"/>
              </w:rPr>
            </w:pPr>
            <w:r>
              <w:rPr>
                <w:rFonts w:ascii="宋体" w:hAnsi="宋体" w:cs="Times New Roman"/>
                <w:color w:val="auto"/>
                <w:kern w:val="0"/>
                <w:sz w:val="21"/>
                <w:szCs w:val="21"/>
              </w:rPr>
              <w:t>水温</w:t>
            </w:r>
          </w:p>
        </w:tc>
        <w:tc>
          <w:tcPr>
            <w:tcW w:w="790" w:type="dxa"/>
            <w:tcBorders>
              <w:top w:val="single" w:color="auto" w:sz="4" w:space="0"/>
              <w:left w:val="nil"/>
              <w:bottom w:val="single" w:color="auto"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27.1</w:t>
            </w:r>
          </w:p>
        </w:tc>
        <w:tc>
          <w:tcPr>
            <w:tcW w:w="790" w:type="dxa"/>
            <w:tcBorders>
              <w:top w:val="single" w:color="auto" w:sz="4" w:space="0"/>
              <w:left w:val="single" w:color="000000" w:sz="4" w:space="0"/>
              <w:bottom w:val="single" w:color="auto"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26.8</w:t>
            </w:r>
          </w:p>
        </w:tc>
        <w:tc>
          <w:tcPr>
            <w:tcW w:w="790" w:type="dxa"/>
            <w:tcBorders>
              <w:top w:val="single" w:color="auto" w:sz="4" w:space="0"/>
              <w:left w:val="single" w:color="000000" w:sz="4" w:space="0"/>
              <w:bottom w:val="single" w:color="auto"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26.9</w:t>
            </w:r>
          </w:p>
        </w:tc>
        <w:tc>
          <w:tcPr>
            <w:tcW w:w="790" w:type="dxa"/>
            <w:tcBorders>
              <w:top w:val="single" w:color="auto" w:sz="4" w:space="0"/>
              <w:left w:val="single" w:color="000000" w:sz="4" w:space="0"/>
              <w:bottom w:val="single" w:color="auto"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27.2</w:t>
            </w:r>
          </w:p>
        </w:tc>
        <w:tc>
          <w:tcPr>
            <w:tcW w:w="620" w:type="dxa"/>
            <w:tcBorders>
              <w:top w:val="single" w:color="auto" w:sz="4" w:space="0"/>
              <w:left w:val="single" w:color="000000" w:sz="4" w:space="0"/>
              <w:bottom w:val="single" w:color="000000" w:sz="4" w:space="0"/>
              <w:right w:val="single" w:color="auto"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w:t>
            </w:r>
          </w:p>
        </w:tc>
        <w:tc>
          <w:tcPr>
            <w:tcW w:w="669" w:type="dxa"/>
            <w:tcBorders>
              <w:top w:val="single" w:color="auto" w:sz="4" w:space="0"/>
              <w:left w:val="nil"/>
              <w:bottom w:val="single" w:color="000000"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97" w:hRule="atLeast"/>
          <w:jc w:val="center"/>
        </w:trPr>
        <w:tc>
          <w:tcPr>
            <w:tcW w:w="1116"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103" w:type="dxa"/>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648" w:type="dxa"/>
            <w:tcBorders>
              <w:top w:val="single" w:color="auto" w:sz="4" w:space="0"/>
              <w:left w:val="nil"/>
              <w:bottom w:val="single" w:color="000000" w:sz="4" w:space="0"/>
              <w:right w:val="single" w:color="auto" w:sz="4" w:space="0"/>
            </w:tcBorders>
            <w:vAlign w:val="center"/>
          </w:tcPr>
          <w:p>
            <w:pPr>
              <w:autoSpaceDE w:val="0"/>
              <w:spacing w:line="240" w:lineRule="auto"/>
              <w:ind w:firstLine="0" w:firstLineChars="0"/>
              <w:jc w:val="center"/>
              <w:rPr>
                <w:rFonts w:cs="Times New Roman"/>
                <w:color w:val="auto"/>
                <w:sz w:val="21"/>
                <w:szCs w:val="21"/>
              </w:rPr>
            </w:pPr>
            <w:r>
              <w:rPr>
                <w:rFonts w:ascii="宋体" w:hAnsi="宋体" w:cs="Times New Roman"/>
                <w:color w:val="auto"/>
                <w:sz w:val="21"/>
                <w:szCs w:val="21"/>
              </w:rPr>
              <w:t>悬浮物</w:t>
            </w:r>
          </w:p>
        </w:tc>
        <w:tc>
          <w:tcPr>
            <w:tcW w:w="790" w:type="dxa"/>
            <w:tcBorders>
              <w:top w:val="single" w:color="auto" w:sz="4" w:space="0"/>
              <w:left w:val="nil"/>
              <w:bottom w:val="single" w:color="auto"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42</w:t>
            </w:r>
          </w:p>
        </w:tc>
        <w:tc>
          <w:tcPr>
            <w:tcW w:w="790" w:type="dxa"/>
            <w:tcBorders>
              <w:top w:val="single" w:color="auto" w:sz="4" w:space="0"/>
              <w:left w:val="single" w:color="000000" w:sz="4" w:space="0"/>
              <w:bottom w:val="single" w:color="auto"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40</w:t>
            </w:r>
          </w:p>
        </w:tc>
        <w:tc>
          <w:tcPr>
            <w:tcW w:w="790" w:type="dxa"/>
            <w:tcBorders>
              <w:top w:val="single" w:color="auto" w:sz="4" w:space="0"/>
              <w:left w:val="single" w:color="000000" w:sz="4" w:space="0"/>
              <w:bottom w:val="single" w:color="auto"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39</w:t>
            </w:r>
          </w:p>
        </w:tc>
        <w:tc>
          <w:tcPr>
            <w:tcW w:w="790" w:type="dxa"/>
            <w:tcBorders>
              <w:top w:val="single" w:color="auto" w:sz="4" w:space="0"/>
              <w:left w:val="single" w:color="000000" w:sz="4" w:space="0"/>
              <w:bottom w:val="single" w:color="auto"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34</w:t>
            </w:r>
          </w:p>
        </w:tc>
        <w:tc>
          <w:tcPr>
            <w:tcW w:w="620" w:type="dxa"/>
            <w:tcBorders>
              <w:top w:val="single" w:color="auto" w:sz="4" w:space="0"/>
              <w:left w:val="single" w:color="000000" w:sz="4" w:space="0"/>
              <w:bottom w:val="single" w:color="000000" w:sz="4" w:space="0"/>
              <w:right w:val="single" w:color="auto"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400</w:t>
            </w:r>
          </w:p>
        </w:tc>
        <w:tc>
          <w:tcPr>
            <w:tcW w:w="669" w:type="dxa"/>
            <w:tcBorders>
              <w:top w:val="single" w:color="auto" w:sz="4" w:space="0"/>
              <w:left w:val="nil"/>
              <w:bottom w:val="single" w:color="000000"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97" w:hRule="atLeast"/>
          <w:jc w:val="center"/>
        </w:trPr>
        <w:tc>
          <w:tcPr>
            <w:tcW w:w="1116"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103" w:type="dxa"/>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648" w:type="dxa"/>
            <w:tcBorders>
              <w:top w:val="single" w:color="auto" w:sz="4" w:space="0"/>
              <w:left w:val="nil"/>
              <w:bottom w:val="single" w:color="000000" w:sz="4" w:space="0"/>
              <w:right w:val="single" w:color="auto" w:sz="4" w:space="0"/>
            </w:tcBorders>
            <w:vAlign w:val="center"/>
          </w:tcPr>
          <w:p>
            <w:pPr>
              <w:autoSpaceDE w:val="0"/>
              <w:spacing w:line="240" w:lineRule="auto"/>
              <w:ind w:firstLine="0" w:firstLineChars="0"/>
              <w:jc w:val="center"/>
              <w:rPr>
                <w:rFonts w:cs="Times New Roman"/>
                <w:color w:val="auto"/>
                <w:sz w:val="21"/>
                <w:szCs w:val="21"/>
              </w:rPr>
            </w:pPr>
            <w:r>
              <w:rPr>
                <w:rFonts w:ascii="宋体" w:hAnsi="宋体" w:cs="Times New Roman"/>
                <w:color w:val="auto"/>
                <w:sz w:val="21"/>
                <w:szCs w:val="21"/>
              </w:rPr>
              <w:t>化学需氧量</w:t>
            </w:r>
          </w:p>
        </w:tc>
        <w:tc>
          <w:tcPr>
            <w:tcW w:w="790" w:type="dxa"/>
            <w:tcBorders>
              <w:top w:val="single" w:color="auto" w:sz="4" w:space="0"/>
              <w:left w:val="nil"/>
              <w:bottom w:val="single" w:color="auto"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130</w:t>
            </w:r>
          </w:p>
        </w:tc>
        <w:tc>
          <w:tcPr>
            <w:tcW w:w="790" w:type="dxa"/>
            <w:tcBorders>
              <w:top w:val="single" w:color="auto" w:sz="4" w:space="0"/>
              <w:left w:val="single" w:color="000000" w:sz="4" w:space="0"/>
              <w:bottom w:val="single" w:color="auto"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126</w:t>
            </w:r>
          </w:p>
        </w:tc>
        <w:tc>
          <w:tcPr>
            <w:tcW w:w="790" w:type="dxa"/>
            <w:tcBorders>
              <w:top w:val="single" w:color="auto" w:sz="4" w:space="0"/>
              <w:left w:val="single" w:color="000000" w:sz="4" w:space="0"/>
              <w:bottom w:val="single" w:color="auto"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121</w:t>
            </w:r>
          </w:p>
        </w:tc>
        <w:tc>
          <w:tcPr>
            <w:tcW w:w="790" w:type="dxa"/>
            <w:tcBorders>
              <w:top w:val="single" w:color="auto" w:sz="4" w:space="0"/>
              <w:left w:val="single" w:color="000000" w:sz="4" w:space="0"/>
              <w:bottom w:val="single" w:color="auto"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109</w:t>
            </w:r>
          </w:p>
        </w:tc>
        <w:tc>
          <w:tcPr>
            <w:tcW w:w="620" w:type="dxa"/>
            <w:tcBorders>
              <w:top w:val="single" w:color="auto" w:sz="4" w:space="0"/>
              <w:left w:val="single" w:color="000000" w:sz="4" w:space="0"/>
              <w:bottom w:val="single" w:color="000000" w:sz="4" w:space="0"/>
              <w:right w:val="single" w:color="auto"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500</w:t>
            </w:r>
          </w:p>
        </w:tc>
        <w:tc>
          <w:tcPr>
            <w:tcW w:w="669" w:type="dxa"/>
            <w:tcBorders>
              <w:top w:val="single" w:color="auto" w:sz="4" w:space="0"/>
              <w:left w:val="nil"/>
              <w:bottom w:val="single" w:color="000000"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97" w:hRule="atLeast"/>
          <w:jc w:val="center"/>
        </w:trPr>
        <w:tc>
          <w:tcPr>
            <w:tcW w:w="1116"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103" w:type="dxa"/>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648" w:type="dxa"/>
            <w:tcBorders>
              <w:top w:val="single" w:color="auto" w:sz="4" w:space="0"/>
              <w:left w:val="nil"/>
              <w:bottom w:val="single" w:color="000000" w:sz="4" w:space="0"/>
              <w:right w:val="single" w:color="auto" w:sz="4" w:space="0"/>
            </w:tcBorders>
            <w:vAlign w:val="center"/>
          </w:tcPr>
          <w:p>
            <w:pPr>
              <w:autoSpaceDE w:val="0"/>
              <w:spacing w:line="240" w:lineRule="auto"/>
              <w:ind w:firstLine="0" w:firstLineChars="0"/>
              <w:jc w:val="center"/>
              <w:rPr>
                <w:rFonts w:cs="Times New Roman"/>
                <w:color w:val="auto"/>
                <w:sz w:val="21"/>
                <w:szCs w:val="21"/>
              </w:rPr>
            </w:pPr>
            <w:r>
              <w:rPr>
                <w:rFonts w:ascii="宋体" w:hAnsi="宋体" w:cs="Times New Roman"/>
                <w:color w:val="auto"/>
                <w:sz w:val="21"/>
                <w:szCs w:val="21"/>
              </w:rPr>
              <w:t>五日生化需氧量</w:t>
            </w:r>
          </w:p>
        </w:tc>
        <w:tc>
          <w:tcPr>
            <w:tcW w:w="790" w:type="dxa"/>
            <w:tcBorders>
              <w:top w:val="single" w:color="auto" w:sz="4" w:space="0"/>
              <w:left w:val="nil"/>
              <w:bottom w:val="single" w:color="auto"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45</w:t>
            </w:r>
          </w:p>
        </w:tc>
        <w:tc>
          <w:tcPr>
            <w:tcW w:w="790" w:type="dxa"/>
            <w:tcBorders>
              <w:top w:val="single" w:color="auto" w:sz="4" w:space="0"/>
              <w:left w:val="single" w:color="000000" w:sz="4" w:space="0"/>
              <w:bottom w:val="single" w:color="auto"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42</w:t>
            </w:r>
          </w:p>
        </w:tc>
        <w:tc>
          <w:tcPr>
            <w:tcW w:w="790" w:type="dxa"/>
            <w:tcBorders>
              <w:top w:val="single" w:color="auto" w:sz="4" w:space="0"/>
              <w:left w:val="single" w:color="000000" w:sz="4" w:space="0"/>
              <w:bottom w:val="single" w:color="auto"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39</w:t>
            </w:r>
          </w:p>
        </w:tc>
        <w:tc>
          <w:tcPr>
            <w:tcW w:w="790" w:type="dxa"/>
            <w:tcBorders>
              <w:top w:val="single" w:color="auto" w:sz="4" w:space="0"/>
              <w:left w:val="single" w:color="000000" w:sz="4" w:space="0"/>
              <w:bottom w:val="single" w:color="auto"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36</w:t>
            </w:r>
          </w:p>
        </w:tc>
        <w:tc>
          <w:tcPr>
            <w:tcW w:w="620" w:type="dxa"/>
            <w:tcBorders>
              <w:top w:val="single" w:color="auto" w:sz="4" w:space="0"/>
              <w:left w:val="single" w:color="000000" w:sz="4" w:space="0"/>
              <w:bottom w:val="single" w:color="000000" w:sz="4" w:space="0"/>
              <w:right w:val="single" w:color="auto"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300</w:t>
            </w:r>
          </w:p>
        </w:tc>
        <w:tc>
          <w:tcPr>
            <w:tcW w:w="669" w:type="dxa"/>
            <w:tcBorders>
              <w:top w:val="single" w:color="auto" w:sz="4" w:space="0"/>
              <w:left w:val="nil"/>
              <w:bottom w:val="single" w:color="000000"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97" w:hRule="atLeast"/>
          <w:jc w:val="center"/>
        </w:trPr>
        <w:tc>
          <w:tcPr>
            <w:tcW w:w="1116"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103" w:type="dxa"/>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648" w:type="dxa"/>
            <w:tcBorders>
              <w:top w:val="single" w:color="auto" w:sz="4" w:space="0"/>
              <w:left w:val="nil"/>
              <w:bottom w:val="single" w:color="000000" w:sz="4" w:space="0"/>
              <w:right w:val="single" w:color="auto" w:sz="4" w:space="0"/>
            </w:tcBorders>
            <w:vAlign w:val="center"/>
          </w:tcPr>
          <w:p>
            <w:pPr>
              <w:autoSpaceDE w:val="0"/>
              <w:spacing w:line="240" w:lineRule="auto"/>
              <w:ind w:firstLine="0" w:firstLineChars="0"/>
              <w:jc w:val="center"/>
              <w:rPr>
                <w:rFonts w:cs="Times New Roman"/>
                <w:color w:val="auto"/>
                <w:sz w:val="21"/>
                <w:szCs w:val="21"/>
              </w:rPr>
            </w:pPr>
            <w:r>
              <w:rPr>
                <w:rFonts w:ascii="宋体" w:hAnsi="宋体" w:cs="Times New Roman"/>
                <w:color w:val="auto"/>
                <w:sz w:val="21"/>
                <w:szCs w:val="21"/>
              </w:rPr>
              <w:t>氨氮</w:t>
            </w:r>
          </w:p>
        </w:tc>
        <w:tc>
          <w:tcPr>
            <w:tcW w:w="790" w:type="dxa"/>
            <w:tcBorders>
              <w:top w:val="single" w:color="auto" w:sz="4" w:space="0"/>
              <w:left w:val="nil"/>
              <w:bottom w:val="single" w:color="auto"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6.31</w:t>
            </w:r>
          </w:p>
        </w:tc>
        <w:tc>
          <w:tcPr>
            <w:tcW w:w="790" w:type="dxa"/>
            <w:tcBorders>
              <w:top w:val="single" w:color="auto" w:sz="4" w:space="0"/>
              <w:left w:val="single" w:color="000000" w:sz="4" w:space="0"/>
              <w:bottom w:val="single" w:color="auto"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6.21</w:t>
            </w:r>
          </w:p>
        </w:tc>
        <w:tc>
          <w:tcPr>
            <w:tcW w:w="790" w:type="dxa"/>
            <w:tcBorders>
              <w:top w:val="single" w:color="auto" w:sz="4" w:space="0"/>
              <w:left w:val="single" w:color="000000" w:sz="4" w:space="0"/>
              <w:bottom w:val="single" w:color="auto"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6.42</w:t>
            </w:r>
          </w:p>
        </w:tc>
        <w:tc>
          <w:tcPr>
            <w:tcW w:w="790" w:type="dxa"/>
            <w:tcBorders>
              <w:top w:val="single" w:color="auto" w:sz="4" w:space="0"/>
              <w:left w:val="single" w:color="000000" w:sz="4" w:space="0"/>
              <w:bottom w:val="single" w:color="auto"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5.80</w:t>
            </w:r>
          </w:p>
        </w:tc>
        <w:tc>
          <w:tcPr>
            <w:tcW w:w="620" w:type="dxa"/>
            <w:tcBorders>
              <w:top w:val="single" w:color="auto" w:sz="4" w:space="0"/>
              <w:left w:val="single" w:color="000000" w:sz="4" w:space="0"/>
              <w:bottom w:val="single" w:color="000000" w:sz="4" w:space="0"/>
              <w:right w:val="single" w:color="auto"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w:t>
            </w:r>
          </w:p>
        </w:tc>
        <w:tc>
          <w:tcPr>
            <w:tcW w:w="669" w:type="dxa"/>
            <w:tcBorders>
              <w:top w:val="single" w:color="auto" w:sz="4" w:space="0"/>
              <w:left w:val="nil"/>
              <w:bottom w:val="single" w:color="000000"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97" w:hRule="atLeast"/>
          <w:jc w:val="center"/>
        </w:trPr>
        <w:tc>
          <w:tcPr>
            <w:tcW w:w="1116"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103" w:type="dxa"/>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648" w:type="dxa"/>
            <w:tcBorders>
              <w:top w:val="single" w:color="auto" w:sz="4" w:space="0"/>
              <w:left w:val="nil"/>
              <w:bottom w:val="single" w:color="000000" w:sz="4" w:space="0"/>
              <w:right w:val="single" w:color="auto" w:sz="4" w:space="0"/>
            </w:tcBorders>
            <w:vAlign w:val="center"/>
          </w:tcPr>
          <w:p>
            <w:pPr>
              <w:autoSpaceDE w:val="0"/>
              <w:spacing w:line="240" w:lineRule="auto"/>
              <w:ind w:firstLine="0" w:firstLineChars="0"/>
              <w:jc w:val="center"/>
              <w:rPr>
                <w:rFonts w:cs="Times New Roman"/>
                <w:color w:val="auto"/>
                <w:sz w:val="21"/>
                <w:szCs w:val="21"/>
              </w:rPr>
            </w:pPr>
            <w:r>
              <w:rPr>
                <w:rFonts w:ascii="宋体" w:hAnsi="宋体" w:cs="Times New Roman"/>
                <w:color w:val="auto"/>
                <w:sz w:val="21"/>
                <w:szCs w:val="21"/>
              </w:rPr>
              <w:t>动植物油</w:t>
            </w:r>
          </w:p>
        </w:tc>
        <w:tc>
          <w:tcPr>
            <w:tcW w:w="790" w:type="dxa"/>
            <w:tcBorders>
              <w:top w:val="single" w:color="auto" w:sz="4" w:space="0"/>
              <w:left w:val="nil"/>
              <w:bottom w:val="single" w:color="auto"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6.21</w:t>
            </w:r>
          </w:p>
        </w:tc>
        <w:tc>
          <w:tcPr>
            <w:tcW w:w="790" w:type="dxa"/>
            <w:tcBorders>
              <w:top w:val="single" w:color="auto" w:sz="4" w:space="0"/>
              <w:left w:val="single" w:color="000000" w:sz="4" w:space="0"/>
              <w:bottom w:val="single" w:color="auto"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5.84</w:t>
            </w:r>
          </w:p>
        </w:tc>
        <w:tc>
          <w:tcPr>
            <w:tcW w:w="790" w:type="dxa"/>
            <w:tcBorders>
              <w:top w:val="single" w:color="auto" w:sz="4" w:space="0"/>
              <w:left w:val="single" w:color="000000" w:sz="4" w:space="0"/>
              <w:bottom w:val="single" w:color="auto"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6.10</w:t>
            </w:r>
          </w:p>
        </w:tc>
        <w:tc>
          <w:tcPr>
            <w:tcW w:w="790" w:type="dxa"/>
            <w:tcBorders>
              <w:top w:val="single" w:color="auto" w:sz="4" w:space="0"/>
              <w:left w:val="single" w:color="000000" w:sz="4" w:space="0"/>
              <w:bottom w:val="single" w:color="auto"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6.66</w:t>
            </w:r>
          </w:p>
        </w:tc>
        <w:tc>
          <w:tcPr>
            <w:tcW w:w="620" w:type="dxa"/>
            <w:tcBorders>
              <w:top w:val="single" w:color="auto" w:sz="4" w:space="0"/>
              <w:left w:val="single" w:color="000000" w:sz="4" w:space="0"/>
              <w:bottom w:val="single" w:color="000000" w:sz="4" w:space="0"/>
              <w:right w:val="single" w:color="auto"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100</w:t>
            </w:r>
          </w:p>
        </w:tc>
        <w:tc>
          <w:tcPr>
            <w:tcW w:w="669" w:type="dxa"/>
            <w:tcBorders>
              <w:top w:val="single" w:color="auto" w:sz="4" w:space="0"/>
              <w:left w:val="nil"/>
              <w:bottom w:val="single" w:color="000000"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97" w:hRule="atLeast"/>
          <w:jc w:val="center"/>
        </w:trPr>
        <w:tc>
          <w:tcPr>
            <w:tcW w:w="1116" w:type="dxa"/>
            <w:vMerge w:val="restart"/>
            <w:tcBorders>
              <w:top w:val="nil"/>
              <w:left w:val="single" w:color="000000" w:sz="4" w:space="0"/>
              <w:bottom w:val="single" w:color="000000" w:sz="4" w:space="0"/>
              <w:right w:val="single" w:color="auto" w:sz="4" w:space="0"/>
            </w:tcBorders>
            <w:vAlign w:val="center"/>
          </w:tcPr>
          <w:p>
            <w:pPr>
              <w:autoSpaceDE w:val="0"/>
              <w:spacing w:line="240" w:lineRule="auto"/>
              <w:ind w:left="17" w:hanging="16" w:hangingChars="8"/>
              <w:jc w:val="center"/>
              <w:rPr>
                <w:rFonts w:cs="Times New Roman"/>
                <w:color w:val="auto"/>
                <w:sz w:val="21"/>
                <w:szCs w:val="21"/>
              </w:rPr>
            </w:pPr>
            <w:r>
              <w:rPr>
                <w:rFonts w:cs="Times New Roman"/>
                <w:color w:val="auto"/>
                <w:sz w:val="21"/>
                <w:szCs w:val="21"/>
              </w:rPr>
              <w:t>2025.12.11</w:t>
            </w:r>
          </w:p>
        </w:tc>
        <w:tc>
          <w:tcPr>
            <w:tcW w:w="1103" w:type="dxa"/>
            <w:vMerge w:val="restart"/>
            <w:tcBorders>
              <w:top w:val="nil"/>
              <w:left w:val="nil"/>
              <w:bottom w:val="single" w:color="000000" w:sz="4" w:space="0"/>
              <w:right w:val="single" w:color="auto" w:sz="4" w:space="0"/>
            </w:tcBorders>
            <w:vAlign w:val="center"/>
          </w:tcPr>
          <w:p>
            <w:pPr>
              <w:autoSpaceDE w:val="0"/>
              <w:spacing w:line="240" w:lineRule="auto"/>
              <w:ind w:firstLine="0" w:firstLineChars="0"/>
              <w:jc w:val="center"/>
              <w:rPr>
                <w:rFonts w:cs="Times New Roman"/>
                <w:color w:val="auto"/>
                <w:sz w:val="21"/>
                <w:szCs w:val="21"/>
              </w:rPr>
            </w:pPr>
            <w:r>
              <w:rPr>
                <w:rFonts w:ascii="宋体" w:hAnsi="宋体" w:cs="Times New Roman"/>
                <w:color w:val="auto"/>
                <w:sz w:val="21"/>
                <w:szCs w:val="21"/>
              </w:rPr>
              <w:t>生活污水排放口</w:t>
            </w:r>
            <w:r>
              <w:rPr>
                <w:rFonts w:cs="Times New Roman"/>
                <w:color w:val="auto"/>
                <w:sz w:val="21"/>
                <w:szCs w:val="21"/>
              </w:rPr>
              <w:t>W1</w:t>
            </w:r>
          </w:p>
        </w:tc>
        <w:tc>
          <w:tcPr>
            <w:tcW w:w="1648" w:type="dxa"/>
            <w:tcBorders>
              <w:top w:val="single" w:color="auto" w:sz="4" w:space="0"/>
              <w:left w:val="nil"/>
              <w:bottom w:val="single" w:color="000000" w:sz="4" w:space="0"/>
              <w:right w:val="single" w:color="auto"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pH</w:t>
            </w:r>
            <w:r>
              <w:rPr>
                <w:rFonts w:ascii="宋体" w:hAnsi="宋体" w:cs="Times New Roman"/>
                <w:color w:val="auto"/>
                <w:sz w:val="21"/>
                <w:szCs w:val="21"/>
              </w:rPr>
              <w:t xml:space="preserve">值 </w:t>
            </w:r>
          </w:p>
        </w:tc>
        <w:tc>
          <w:tcPr>
            <w:tcW w:w="790" w:type="dxa"/>
            <w:tcBorders>
              <w:top w:val="single" w:color="auto" w:sz="4" w:space="0"/>
              <w:left w:val="nil"/>
              <w:bottom w:val="single" w:color="auto"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7.1</w:t>
            </w:r>
          </w:p>
        </w:tc>
        <w:tc>
          <w:tcPr>
            <w:tcW w:w="790" w:type="dxa"/>
            <w:tcBorders>
              <w:top w:val="single" w:color="auto" w:sz="4" w:space="0"/>
              <w:left w:val="single" w:color="000000" w:sz="4" w:space="0"/>
              <w:bottom w:val="single" w:color="auto"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7.0</w:t>
            </w:r>
          </w:p>
        </w:tc>
        <w:tc>
          <w:tcPr>
            <w:tcW w:w="790" w:type="dxa"/>
            <w:tcBorders>
              <w:top w:val="single" w:color="auto" w:sz="4" w:space="0"/>
              <w:left w:val="single" w:color="000000" w:sz="4" w:space="0"/>
              <w:bottom w:val="single" w:color="auto"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7.0</w:t>
            </w:r>
          </w:p>
        </w:tc>
        <w:tc>
          <w:tcPr>
            <w:tcW w:w="790" w:type="dxa"/>
            <w:tcBorders>
              <w:top w:val="single" w:color="auto" w:sz="4" w:space="0"/>
              <w:left w:val="single" w:color="000000" w:sz="4" w:space="0"/>
              <w:bottom w:val="single" w:color="auto"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7.1</w:t>
            </w:r>
          </w:p>
        </w:tc>
        <w:tc>
          <w:tcPr>
            <w:tcW w:w="620" w:type="dxa"/>
            <w:tcBorders>
              <w:top w:val="single" w:color="auto" w:sz="4" w:space="0"/>
              <w:left w:val="single" w:color="000000" w:sz="4" w:space="0"/>
              <w:bottom w:val="single" w:color="000000" w:sz="4" w:space="0"/>
              <w:right w:val="single" w:color="auto"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6-9</w:t>
            </w:r>
          </w:p>
        </w:tc>
        <w:tc>
          <w:tcPr>
            <w:tcW w:w="669" w:type="dxa"/>
            <w:tcBorders>
              <w:top w:val="single" w:color="auto" w:sz="4" w:space="0"/>
              <w:left w:val="nil"/>
              <w:bottom w:val="single" w:color="000000"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ascii="宋体" w:hAnsi="宋体" w:cs="Times New Roman"/>
                <w:color w:val="auto"/>
                <w:sz w:val="21"/>
                <w:szCs w:val="21"/>
              </w:rPr>
              <w:t>无量纲</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97" w:hRule="atLeast"/>
          <w:jc w:val="center"/>
        </w:trPr>
        <w:tc>
          <w:tcPr>
            <w:tcW w:w="1116"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103" w:type="dxa"/>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648" w:type="dxa"/>
            <w:tcBorders>
              <w:top w:val="single" w:color="auto" w:sz="4" w:space="0"/>
              <w:left w:val="nil"/>
              <w:bottom w:val="single" w:color="000000" w:sz="4" w:space="0"/>
              <w:right w:val="single" w:color="auto" w:sz="4" w:space="0"/>
            </w:tcBorders>
            <w:vAlign w:val="center"/>
          </w:tcPr>
          <w:p>
            <w:pPr>
              <w:autoSpaceDE w:val="0"/>
              <w:spacing w:line="240" w:lineRule="auto"/>
              <w:ind w:firstLine="0" w:firstLineChars="0"/>
              <w:jc w:val="center"/>
              <w:rPr>
                <w:rFonts w:cs="Times New Roman"/>
                <w:color w:val="auto"/>
                <w:sz w:val="21"/>
                <w:szCs w:val="21"/>
              </w:rPr>
            </w:pPr>
            <w:r>
              <w:rPr>
                <w:rFonts w:ascii="宋体" w:hAnsi="宋体" w:cs="Times New Roman"/>
                <w:color w:val="auto"/>
                <w:kern w:val="0"/>
                <w:sz w:val="21"/>
                <w:szCs w:val="21"/>
              </w:rPr>
              <w:t>水温</w:t>
            </w:r>
          </w:p>
        </w:tc>
        <w:tc>
          <w:tcPr>
            <w:tcW w:w="790" w:type="dxa"/>
            <w:tcBorders>
              <w:top w:val="single" w:color="auto" w:sz="4" w:space="0"/>
              <w:left w:val="nil"/>
              <w:bottom w:val="single" w:color="auto"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27.0</w:t>
            </w:r>
          </w:p>
        </w:tc>
        <w:tc>
          <w:tcPr>
            <w:tcW w:w="790" w:type="dxa"/>
            <w:tcBorders>
              <w:top w:val="single" w:color="auto" w:sz="4" w:space="0"/>
              <w:left w:val="single" w:color="000000" w:sz="4" w:space="0"/>
              <w:bottom w:val="single" w:color="auto"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26.6</w:t>
            </w:r>
          </w:p>
        </w:tc>
        <w:tc>
          <w:tcPr>
            <w:tcW w:w="790" w:type="dxa"/>
            <w:tcBorders>
              <w:top w:val="single" w:color="auto" w:sz="4" w:space="0"/>
              <w:left w:val="single" w:color="000000" w:sz="4" w:space="0"/>
              <w:bottom w:val="single" w:color="auto"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26.5</w:t>
            </w:r>
          </w:p>
        </w:tc>
        <w:tc>
          <w:tcPr>
            <w:tcW w:w="790" w:type="dxa"/>
            <w:tcBorders>
              <w:top w:val="single" w:color="auto" w:sz="4" w:space="0"/>
              <w:left w:val="single" w:color="000000" w:sz="4" w:space="0"/>
              <w:bottom w:val="single" w:color="auto"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26.9</w:t>
            </w:r>
          </w:p>
        </w:tc>
        <w:tc>
          <w:tcPr>
            <w:tcW w:w="620" w:type="dxa"/>
            <w:tcBorders>
              <w:top w:val="single" w:color="auto" w:sz="4" w:space="0"/>
              <w:left w:val="single" w:color="000000" w:sz="4" w:space="0"/>
              <w:bottom w:val="single" w:color="000000" w:sz="4" w:space="0"/>
              <w:right w:val="single" w:color="auto"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w:t>
            </w:r>
          </w:p>
        </w:tc>
        <w:tc>
          <w:tcPr>
            <w:tcW w:w="669" w:type="dxa"/>
            <w:tcBorders>
              <w:top w:val="single" w:color="auto" w:sz="4" w:space="0"/>
              <w:left w:val="nil"/>
              <w:bottom w:val="single" w:color="000000"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97" w:hRule="atLeast"/>
          <w:jc w:val="center"/>
        </w:trPr>
        <w:tc>
          <w:tcPr>
            <w:tcW w:w="1116"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103" w:type="dxa"/>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648" w:type="dxa"/>
            <w:tcBorders>
              <w:top w:val="single" w:color="auto" w:sz="4" w:space="0"/>
              <w:left w:val="nil"/>
              <w:bottom w:val="single" w:color="000000" w:sz="4" w:space="0"/>
              <w:right w:val="single" w:color="auto" w:sz="4" w:space="0"/>
            </w:tcBorders>
            <w:vAlign w:val="center"/>
          </w:tcPr>
          <w:p>
            <w:pPr>
              <w:autoSpaceDE w:val="0"/>
              <w:spacing w:line="240" w:lineRule="auto"/>
              <w:ind w:firstLine="0" w:firstLineChars="0"/>
              <w:jc w:val="center"/>
              <w:rPr>
                <w:rFonts w:cs="Times New Roman"/>
                <w:color w:val="auto"/>
                <w:sz w:val="21"/>
                <w:szCs w:val="21"/>
              </w:rPr>
            </w:pPr>
            <w:r>
              <w:rPr>
                <w:rFonts w:ascii="宋体" w:hAnsi="宋体" w:cs="Times New Roman"/>
                <w:color w:val="auto"/>
                <w:sz w:val="21"/>
                <w:szCs w:val="21"/>
              </w:rPr>
              <w:t>悬浮物</w:t>
            </w:r>
          </w:p>
        </w:tc>
        <w:tc>
          <w:tcPr>
            <w:tcW w:w="790" w:type="dxa"/>
            <w:tcBorders>
              <w:top w:val="single" w:color="auto" w:sz="4" w:space="0"/>
              <w:left w:val="nil"/>
              <w:bottom w:val="single" w:color="auto"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35</w:t>
            </w:r>
          </w:p>
        </w:tc>
        <w:tc>
          <w:tcPr>
            <w:tcW w:w="790" w:type="dxa"/>
            <w:tcBorders>
              <w:top w:val="single" w:color="auto" w:sz="4" w:space="0"/>
              <w:left w:val="single" w:color="000000" w:sz="4" w:space="0"/>
              <w:bottom w:val="single" w:color="auto"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37</w:t>
            </w:r>
          </w:p>
        </w:tc>
        <w:tc>
          <w:tcPr>
            <w:tcW w:w="790" w:type="dxa"/>
            <w:tcBorders>
              <w:top w:val="single" w:color="auto" w:sz="4" w:space="0"/>
              <w:left w:val="single" w:color="000000" w:sz="4" w:space="0"/>
              <w:bottom w:val="single" w:color="auto"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43</w:t>
            </w:r>
          </w:p>
        </w:tc>
        <w:tc>
          <w:tcPr>
            <w:tcW w:w="790" w:type="dxa"/>
            <w:tcBorders>
              <w:top w:val="single" w:color="auto" w:sz="4" w:space="0"/>
              <w:left w:val="single" w:color="000000" w:sz="4" w:space="0"/>
              <w:bottom w:val="single" w:color="auto"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33</w:t>
            </w:r>
          </w:p>
        </w:tc>
        <w:tc>
          <w:tcPr>
            <w:tcW w:w="620" w:type="dxa"/>
            <w:tcBorders>
              <w:top w:val="single" w:color="auto" w:sz="4" w:space="0"/>
              <w:left w:val="single" w:color="000000" w:sz="4" w:space="0"/>
              <w:bottom w:val="single" w:color="000000" w:sz="4" w:space="0"/>
              <w:right w:val="single" w:color="auto"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400</w:t>
            </w:r>
          </w:p>
        </w:tc>
        <w:tc>
          <w:tcPr>
            <w:tcW w:w="669" w:type="dxa"/>
            <w:tcBorders>
              <w:top w:val="single" w:color="auto" w:sz="4" w:space="0"/>
              <w:left w:val="nil"/>
              <w:bottom w:val="single" w:color="000000"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97" w:hRule="atLeast"/>
          <w:jc w:val="center"/>
        </w:trPr>
        <w:tc>
          <w:tcPr>
            <w:tcW w:w="1116"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103" w:type="dxa"/>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648" w:type="dxa"/>
            <w:tcBorders>
              <w:top w:val="single" w:color="auto" w:sz="4" w:space="0"/>
              <w:left w:val="nil"/>
              <w:bottom w:val="single" w:color="000000" w:sz="4" w:space="0"/>
              <w:right w:val="single" w:color="auto" w:sz="4" w:space="0"/>
            </w:tcBorders>
            <w:vAlign w:val="center"/>
          </w:tcPr>
          <w:p>
            <w:pPr>
              <w:autoSpaceDE w:val="0"/>
              <w:spacing w:line="240" w:lineRule="auto"/>
              <w:ind w:firstLine="0" w:firstLineChars="0"/>
              <w:jc w:val="center"/>
              <w:rPr>
                <w:rFonts w:cs="Times New Roman"/>
                <w:color w:val="auto"/>
                <w:sz w:val="21"/>
                <w:szCs w:val="21"/>
              </w:rPr>
            </w:pPr>
            <w:r>
              <w:rPr>
                <w:rFonts w:ascii="宋体" w:hAnsi="宋体" w:cs="Times New Roman"/>
                <w:color w:val="auto"/>
                <w:sz w:val="21"/>
                <w:szCs w:val="21"/>
              </w:rPr>
              <w:t>化学需氧量</w:t>
            </w:r>
          </w:p>
        </w:tc>
        <w:tc>
          <w:tcPr>
            <w:tcW w:w="790" w:type="dxa"/>
            <w:tcBorders>
              <w:top w:val="single" w:color="auto" w:sz="4" w:space="0"/>
              <w:left w:val="nil"/>
              <w:bottom w:val="single" w:color="auto"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113</w:t>
            </w:r>
          </w:p>
        </w:tc>
        <w:tc>
          <w:tcPr>
            <w:tcW w:w="790" w:type="dxa"/>
            <w:tcBorders>
              <w:top w:val="single" w:color="auto" w:sz="4" w:space="0"/>
              <w:left w:val="single" w:color="000000" w:sz="4" w:space="0"/>
              <w:bottom w:val="single" w:color="auto"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124</w:t>
            </w:r>
          </w:p>
        </w:tc>
        <w:tc>
          <w:tcPr>
            <w:tcW w:w="790" w:type="dxa"/>
            <w:tcBorders>
              <w:top w:val="single" w:color="auto" w:sz="4" w:space="0"/>
              <w:left w:val="single" w:color="000000" w:sz="4" w:space="0"/>
              <w:bottom w:val="single" w:color="auto"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139</w:t>
            </w:r>
          </w:p>
        </w:tc>
        <w:tc>
          <w:tcPr>
            <w:tcW w:w="790" w:type="dxa"/>
            <w:tcBorders>
              <w:top w:val="single" w:color="auto" w:sz="4" w:space="0"/>
              <w:left w:val="single" w:color="000000" w:sz="4" w:space="0"/>
              <w:bottom w:val="single" w:color="auto"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106</w:t>
            </w:r>
          </w:p>
        </w:tc>
        <w:tc>
          <w:tcPr>
            <w:tcW w:w="620" w:type="dxa"/>
            <w:tcBorders>
              <w:top w:val="single" w:color="auto" w:sz="4" w:space="0"/>
              <w:left w:val="single" w:color="000000" w:sz="4" w:space="0"/>
              <w:bottom w:val="single" w:color="000000" w:sz="4" w:space="0"/>
              <w:right w:val="single" w:color="auto"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500</w:t>
            </w:r>
          </w:p>
        </w:tc>
        <w:tc>
          <w:tcPr>
            <w:tcW w:w="669" w:type="dxa"/>
            <w:tcBorders>
              <w:top w:val="single" w:color="auto" w:sz="4" w:space="0"/>
              <w:left w:val="nil"/>
              <w:bottom w:val="single" w:color="000000"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97" w:hRule="atLeast"/>
          <w:jc w:val="center"/>
        </w:trPr>
        <w:tc>
          <w:tcPr>
            <w:tcW w:w="1116"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103" w:type="dxa"/>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648" w:type="dxa"/>
            <w:tcBorders>
              <w:top w:val="single" w:color="auto" w:sz="4" w:space="0"/>
              <w:left w:val="nil"/>
              <w:bottom w:val="single" w:color="000000" w:sz="4" w:space="0"/>
              <w:right w:val="single" w:color="auto" w:sz="4" w:space="0"/>
            </w:tcBorders>
            <w:vAlign w:val="center"/>
          </w:tcPr>
          <w:p>
            <w:pPr>
              <w:autoSpaceDE w:val="0"/>
              <w:spacing w:line="240" w:lineRule="auto"/>
              <w:ind w:firstLine="0" w:firstLineChars="0"/>
              <w:jc w:val="center"/>
              <w:rPr>
                <w:rFonts w:cs="Times New Roman"/>
                <w:color w:val="auto"/>
                <w:sz w:val="21"/>
                <w:szCs w:val="21"/>
              </w:rPr>
            </w:pPr>
            <w:r>
              <w:rPr>
                <w:rFonts w:ascii="宋体" w:hAnsi="宋体" w:cs="Times New Roman"/>
                <w:color w:val="auto"/>
                <w:sz w:val="21"/>
                <w:szCs w:val="21"/>
              </w:rPr>
              <w:t>五日生化需氧量</w:t>
            </w:r>
          </w:p>
        </w:tc>
        <w:tc>
          <w:tcPr>
            <w:tcW w:w="790" w:type="dxa"/>
            <w:tcBorders>
              <w:top w:val="single" w:color="auto" w:sz="4" w:space="0"/>
              <w:left w:val="nil"/>
              <w:bottom w:val="single" w:color="auto"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38</w:t>
            </w:r>
          </w:p>
        </w:tc>
        <w:tc>
          <w:tcPr>
            <w:tcW w:w="790" w:type="dxa"/>
            <w:tcBorders>
              <w:top w:val="single" w:color="auto" w:sz="4" w:space="0"/>
              <w:left w:val="single" w:color="000000" w:sz="4" w:space="0"/>
              <w:bottom w:val="single" w:color="auto"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41</w:t>
            </w:r>
          </w:p>
        </w:tc>
        <w:tc>
          <w:tcPr>
            <w:tcW w:w="790" w:type="dxa"/>
            <w:tcBorders>
              <w:top w:val="single" w:color="auto" w:sz="4" w:space="0"/>
              <w:left w:val="single" w:color="000000" w:sz="4" w:space="0"/>
              <w:bottom w:val="single" w:color="auto"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48</w:t>
            </w:r>
          </w:p>
        </w:tc>
        <w:tc>
          <w:tcPr>
            <w:tcW w:w="790" w:type="dxa"/>
            <w:tcBorders>
              <w:top w:val="single" w:color="auto" w:sz="4" w:space="0"/>
              <w:left w:val="single" w:color="000000" w:sz="4" w:space="0"/>
              <w:bottom w:val="single" w:color="auto"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35</w:t>
            </w:r>
          </w:p>
        </w:tc>
        <w:tc>
          <w:tcPr>
            <w:tcW w:w="620" w:type="dxa"/>
            <w:tcBorders>
              <w:top w:val="single" w:color="auto" w:sz="4" w:space="0"/>
              <w:left w:val="single" w:color="000000" w:sz="4" w:space="0"/>
              <w:bottom w:val="single" w:color="000000" w:sz="4" w:space="0"/>
              <w:right w:val="single" w:color="auto"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300</w:t>
            </w:r>
          </w:p>
        </w:tc>
        <w:tc>
          <w:tcPr>
            <w:tcW w:w="669" w:type="dxa"/>
            <w:tcBorders>
              <w:top w:val="single" w:color="auto" w:sz="4" w:space="0"/>
              <w:left w:val="nil"/>
              <w:bottom w:val="single" w:color="000000"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97" w:hRule="atLeast"/>
          <w:jc w:val="center"/>
        </w:trPr>
        <w:tc>
          <w:tcPr>
            <w:tcW w:w="1116"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103" w:type="dxa"/>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648" w:type="dxa"/>
            <w:tcBorders>
              <w:top w:val="single" w:color="auto" w:sz="4" w:space="0"/>
              <w:left w:val="nil"/>
              <w:bottom w:val="single" w:color="000000" w:sz="4" w:space="0"/>
              <w:right w:val="single" w:color="auto" w:sz="4" w:space="0"/>
            </w:tcBorders>
            <w:vAlign w:val="center"/>
          </w:tcPr>
          <w:p>
            <w:pPr>
              <w:autoSpaceDE w:val="0"/>
              <w:spacing w:line="240" w:lineRule="auto"/>
              <w:ind w:firstLine="0" w:firstLineChars="0"/>
              <w:jc w:val="center"/>
              <w:rPr>
                <w:rFonts w:cs="Times New Roman"/>
                <w:color w:val="auto"/>
                <w:sz w:val="21"/>
                <w:szCs w:val="21"/>
              </w:rPr>
            </w:pPr>
            <w:r>
              <w:rPr>
                <w:rFonts w:ascii="宋体" w:hAnsi="宋体" w:cs="Times New Roman"/>
                <w:color w:val="auto"/>
                <w:sz w:val="21"/>
                <w:szCs w:val="21"/>
              </w:rPr>
              <w:t>氨氮</w:t>
            </w:r>
          </w:p>
        </w:tc>
        <w:tc>
          <w:tcPr>
            <w:tcW w:w="790" w:type="dxa"/>
            <w:tcBorders>
              <w:top w:val="single" w:color="auto" w:sz="4" w:space="0"/>
              <w:left w:val="nil"/>
              <w:bottom w:val="single" w:color="auto"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6.11</w:t>
            </w:r>
          </w:p>
        </w:tc>
        <w:tc>
          <w:tcPr>
            <w:tcW w:w="790" w:type="dxa"/>
            <w:tcBorders>
              <w:top w:val="single" w:color="auto" w:sz="4" w:space="0"/>
              <w:left w:val="single" w:color="000000" w:sz="4" w:space="0"/>
              <w:bottom w:val="single" w:color="auto"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6.34</w:t>
            </w:r>
          </w:p>
        </w:tc>
        <w:tc>
          <w:tcPr>
            <w:tcW w:w="790" w:type="dxa"/>
            <w:tcBorders>
              <w:top w:val="single" w:color="auto" w:sz="4" w:space="0"/>
              <w:left w:val="single" w:color="000000" w:sz="4" w:space="0"/>
              <w:bottom w:val="single" w:color="auto"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5.95</w:t>
            </w:r>
          </w:p>
        </w:tc>
        <w:tc>
          <w:tcPr>
            <w:tcW w:w="790" w:type="dxa"/>
            <w:tcBorders>
              <w:top w:val="single" w:color="auto" w:sz="4" w:space="0"/>
              <w:left w:val="single" w:color="000000" w:sz="4" w:space="0"/>
              <w:bottom w:val="single" w:color="auto"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6.25</w:t>
            </w:r>
          </w:p>
        </w:tc>
        <w:tc>
          <w:tcPr>
            <w:tcW w:w="620" w:type="dxa"/>
            <w:tcBorders>
              <w:top w:val="single" w:color="auto" w:sz="4" w:space="0"/>
              <w:left w:val="single" w:color="000000" w:sz="4" w:space="0"/>
              <w:bottom w:val="single" w:color="000000" w:sz="4" w:space="0"/>
              <w:right w:val="single" w:color="auto"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w:t>
            </w:r>
          </w:p>
        </w:tc>
        <w:tc>
          <w:tcPr>
            <w:tcW w:w="669" w:type="dxa"/>
            <w:tcBorders>
              <w:top w:val="single" w:color="auto" w:sz="4" w:space="0"/>
              <w:left w:val="nil"/>
              <w:bottom w:val="single" w:color="000000"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97" w:hRule="atLeast"/>
          <w:jc w:val="center"/>
        </w:trPr>
        <w:tc>
          <w:tcPr>
            <w:tcW w:w="1116"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103" w:type="dxa"/>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648" w:type="dxa"/>
            <w:tcBorders>
              <w:top w:val="single" w:color="auto" w:sz="4" w:space="0"/>
              <w:left w:val="nil"/>
              <w:bottom w:val="single" w:color="000000" w:sz="4" w:space="0"/>
              <w:right w:val="single" w:color="auto" w:sz="4" w:space="0"/>
            </w:tcBorders>
            <w:vAlign w:val="center"/>
          </w:tcPr>
          <w:p>
            <w:pPr>
              <w:autoSpaceDE w:val="0"/>
              <w:spacing w:line="240" w:lineRule="auto"/>
              <w:ind w:firstLine="0" w:firstLineChars="0"/>
              <w:jc w:val="center"/>
              <w:rPr>
                <w:rFonts w:cs="Times New Roman"/>
                <w:color w:val="auto"/>
                <w:sz w:val="21"/>
                <w:szCs w:val="21"/>
              </w:rPr>
            </w:pPr>
            <w:r>
              <w:rPr>
                <w:rFonts w:ascii="宋体" w:hAnsi="宋体" w:cs="Times New Roman"/>
                <w:color w:val="auto"/>
                <w:sz w:val="21"/>
                <w:szCs w:val="21"/>
              </w:rPr>
              <w:t>动植物油</w:t>
            </w:r>
          </w:p>
        </w:tc>
        <w:tc>
          <w:tcPr>
            <w:tcW w:w="790" w:type="dxa"/>
            <w:tcBorders>
              <w:top w:val="single" w:color="auto" w:sz="4" w:space="0"/>
              <w:left w:val="nil"/>
              <w:bottom w:val="single" w:color="auto"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5.92</w:t>
            </w:r>
          </w:p>
        </w:tc>
        <w:tc>
          <w:tcPr>
            <w:tcW w:w="790" w:type="dxa"/>
            <w:tcBorders>
              <w:top w:val="single" w:color="auto" w:sz="4" w:space="0"/>
              <w:left w:val="single" w:color="000000" w:sz="4" w:space="0"/>
              <w:bottom w:val="single" w:color="auto"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6.03</w:t>
            </w:r>
          </w:p>
        </w:tc>
        <w:tc>
          <w:tcPr>
            <w:tcW w:w="790" w:type="dxa"/>
            <w:tcBorders>
              <w:top w:val="single" w:color="auto" w:sz="4" w:space="0"/>
              <w:left w:val="single" w:color="000000" w:sz="4" w:space="0"/>
              <w:bottom w:val="single" w:color="auto"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6.45</w:t>
            </w:r>
          </w:p>
        </w:tc>
        <w:tc>
          <w:tcPr>
            <w:tcW w:w="790" w:type="dxa"/>
            <w:tcBorders>
              <w:top w:val="single" w:color="auto" w:sz="4" w:space="0"/>
              <w:left w:val="single" w:color="000000" w:sz="4" w:space="0"/>
              <w:bottom w:val="single" w:color="auto"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6.37</w:t>
            </w:r>
          </w:p>
        </w:tc>
        <w:tc>
          <w:tcPr>
            <w:tcW w:w="620" w:type="dxa"/>
            <w:tcBorders>
              <w:top w:val="single" w:color="auto" w:sz="4" w:space="0"/>
              <w:left w:val="single" w:color="000000" w:sz="4" w:space="0"/>
              <w:bottom w:val="single" w:color="000000" w:sz="4" w:space="0"/>
              <w:right w:val="single" w:color="auto"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100</w:t>
            </w:r>
          </w:p>
        </w:tc>
        <w:tc>
          <w:tcPr>
            <w:tcW w:w="669" w:type="dxa"/>
            <w:tcBorders>
              <w:top w:val="single" w:color="auto" w:sz="4" w:space="0"/>
              <w:left w:val="nil"/>
              <w:bottom w:val="single" w:color="000000" w:sz="4" w:space="0"/>
              <w:right w:val="single" w:color="000000" w:sz="4" w:space="0"/>
            </w:tcBorders>
            <w:vAlign w:val="center"/>
          </w:tcPr>
          <w:p>
            <w:pPr>
              <w:autoSpaceDE w:val="0"/>
              <w:spacing w:line="240" w:lineRule="auto"/>
              <w:ind w:firstLine="0" w:firstLineChars="0"/>
              <w:jc w:val="center"/>
              <w:rPr>
                <w:rFonts w:cs="Times New Roman"/>
                <w:color w:val="auto"/>
                <w:sz w:val="21"/>
                <w:szCs w:val="21"/>
              </w:rPr>
            </w:pPr>
            <w:r>
              <w:rPr>
                <w:rFonts w:cs="Times New Roman"/>
                <w:color w:val="auto"/>
                <w:sz w:val="21"/>
                <w:szCs w:val="21"/>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793" w:hRule="atLeast"/>
          <w:jc w:val="center"/>
        </w:trPr>
        <w:tc>
          <w:tcPr>
            <w:tcW w:w="8316" w:type="dxa"/>
            <w:gridSpan w:val="9"/>
            <w:tcBorders>
              <w:top w:val="single" w:color="000000" w:sz="4" w:space="0"/>
              <w:left w:val="single" w:color="000000" w:sz="4" w:space="0"/>
              <w:bottom w:val="single" w:color="000000" w:sz="4" w:space="0"/>
              <w:right w:val="single" w:color="auto" w:sz="4" w:space="0"/>
            </w:tcBorders>
            <w:vAlign w:val="center"/>
          </w:tcPr>
          <w:p>
            <w:pPr>
              <w:autoSpaceDE w:val="0"/>
              <w:autoSpaceDN w:val="0"/>
              <w:adjustRightInd w:val="0"/>
              <w:spacing w:line="240" w:lineRule="auto"/>
              <w:ind w:firstLine="0" w:firstLineChars="0"/>
              <w:jc w:val="left"/>
              <w:rPr>
                <w:rFonts w:cs="Times New Roman"/>
                <w:color w:val="auto"/>
                <w:sz w:val="21"/>
                <w:szCs w:val="21"/>
              </w:rPr>
            </w:pPr>
            <w:r>
              <w:rPr>
                <w:rFonts w:ascii="宋体" w:hAnsi="宋体" w:cs="Times New Roman"/>
                <w:color w:val="auto"/>
                <w:sz w:val="21"/>
                <w:szCs w:val="21"/>
              </w:rPr>
              <w:t>备注：</w:t>
            </w:r>
            <w:r>
              <w:rPr>
                <w:rFonts w:cs="Times New Roman"/>
                <w:color w:val="auto"/>
                <w:kern w:val="0"/>
                <w:sz w:val="21"/>
                <w:szCs w:val="21"/>
              </w:rPr>
              <w:t>1</w:t>
            </w:r>
            <w:r>
              <w:rPr>
                <w:rFonts w:ascii="宋体" w:hAnsi="宋体" w:cs="Times New Roman"/>
                <w:color w:val="auto"/>
                <w:kern w:val="0"/>
                <w:sz w:val="21"/>
                <w:szCs w:val="21"/>
              </w:rPr>
              <w:t>、</w:t>
            </w:r>
            <w:r>
              <w:rPr>
                <w:rFonts w:ascii="宋体" w:hAnsi="宋体" w:cs="Times New Roman"/>
                <w:color w:val="auto"/>
                <w:sz w:val="21"/>
                <w:szCs w:val="21"/>
              </w:rPr>
              <w:t>项目执行</w:t>
            </w:r>
            <w:bookmarkStart w:id="95" w:name="OLE_LINK37"/>
            <w:r>
              <w:rPr>
                <w:rFonts w:ascii="宋体" w:hAnsi="宋体" w:cs="Times New Roman"/>
                <w:color w:val="auto"/>
                <w:sz w:val="21"/>
                <w:szCs w:val="21"/>
              </w:rPr>
              <w:t>广东省《水污染物排放限值》（</w:t>
            </w:r>
            <w:r>
              <w:rPr>
                <w:rFonts w:cs="Times New Roman"/>
                <w:color w:val="auto"/>
                <w:sz w:val="21"/>
                <w:szCs w:val="21"/>
              </w:rPr>
              <w:t>DB44/26-2001</w:t>
            </w:r>
            <w:r>
              <w:rPr>
                <w:rFonts w:ascii="宋体" w:hAnsi="宋体" w:cs="Times New Roman"/>
                <w:color w:val="auto"/>
                <w:sz w:val="21"/>
                <w:szCs w:val="21"/>
              </w:rPr>
              <w:t>）第二时段三级标准</w:t>
            </w:r>
            <w:bookmarkEnd w:id="95"/>
            <w:r>
              <w:rPr>
                <w:rFonts w:ascii="宋体" w:hAnsi="宋体" w:cs="Times New Roman"/>
                <w:color w:val="auto"/>
                <w:sz w:val="21"/>
                <w:szCs w:val="21"/>
              </w:rPr>
              <w:t>；</w:t>
            </w:r>
          </w:p>
          <w:p>
            <w:pPr>
              <w:tabs>
                <w:tab w:val="left" w:pos="981"/>
              </w:tabs>
              <w:autoSpaceDE w:val="0"/>
              <w:spacing w:line="240" w:lineRule="auto"/>
              <w:ind w:firstLine="630" w:firstLineChars="300"/>
              <w:rPr>
                <w:rFonts w:cs="Times New Roman"/>
                <w:color w:val="auto"/>
                <w:sz w:val="21"/>
                <w:szCs w:val="21"/>
              </w:rPr>
            </w:pPr>
            <w:r>
              <w:rPr>
                <w:rFonts w:cs="Times New Roman"/>
                <w:color w:val="auto"/>
                <w:sz w:val="21"/>
                <w:szCs w:val="21"/>
              </w:rPr>
              <w:t>2</w:t>
            </w:r>
            <w:r>
              <w:rPr>
                <w:rFonts w:ascii="宋体" w:hAnsi="宋体" w:cs="Times New Roman"/>
                <w:color w:val="auto"/>
                <w:sz w:val="21"/>
                <w:szCs w:val="21"/>
              </w:rPr>
              <w:t>、本报告结果只对当时采样监测结果负责。</w:t>
            </w:r>
          </w:p>
        </w:tc>
      </w:tr>
    </w:tbl>
    <w:p>
      <w:pPr>
        <w:ind w:firstLine="480"/>
        <w:rPr>
          <w:rFonts w:cs="Times New Roman"/>
          <w:color w:val="auto"/>
        </w:rPr>
      </w:pPr>
      <w:bookmarkStart w:id="96" w:name="_Hlk217405086"/>
      <w:r>
        <w:rPr>
          <w:rFonts w:cs="Times New Roman"/>
          <w:color w:val="auto"/>
        </w:rPr>
        <w:t>监测结果表明：</w:t>
      </w:r>
      <w:r>
        <w:rPr>
          <w:rFonts w:hint="eastAsia" w:cs="Times New Roman"/>
          <w:color w:val="auto"/>
        </w:rPr>
        <w:t>本项目综合废水排放口W1水污染物排放浓度范围为：pH：6.9~7.1（无量纲），悬浮物：33～43mg/L，化学需氧量：106～139mg/L，五日生化需氧量：35～48mg/L，氨氮：5.80～6.42mg/L，动植物油：5.84～6.66mg/L。本项目生活污水中各污染物排放浓度</w:t>
      </w:r>
      <w:r>
        <w:rPr>
          <w:rFonts w:cs="Times New Roman"/>
          <w:color w:val="auto"/>
        </w:rPr>
        <w:t>均符合</w:t>
      </w:r>
      <w:r>
        <w:rPr>
          <w:rFonts w:hint="eastAsia" w:ascii="宋体" w:hAnsi="宋体" w:cs="宋体"/>
          <w:color w:val="auto"/>
        </w:rPr>
        <w:t>广东省《水污染物排放限值》（DB44/26-2001）第二时段三级标准</w:t>
      </w:r>
      <w:r>
        <w:rPr>
          <w:rFonts w:cs="Times New Roman"/>
          <w:color w:val="auto"/>
        </w:rPr>
        <w:t>。</w:t>
      </w:r>
    </w:p>
    <w:bookmarkEnd w:id="94"/>
    <w:bookmarkEnd w:id="96"/>
    <w:p>
      <w:pPr>
        <w:pStyle w:val="4"/>
        <w:rPr>
          <w:color w:val="auto"/>
        </w:rPr>
      </w:pPr>
      <w:bookmarkStart w:id="97" w:name="_Toc8003"/>
      <w:bookmarkStart w:id="98" w:name="_Toc156491678"/>
      <w:bookmarkStart w:id="99" w:name="_Toc164292301"/>
      <w:r>
        <w:rPr>
          <w:rFonts w:hint="eastAsia"/>
          <w:color w:val="auto"/>
        </w:rPr>
        <w:t>废气</w:t>
      </w:r>
      <w:bookmarkEnd w:id="97"/>
      <w:bookmarkEnd w:id="98"/>
      <w:bookmarkEnd w:id="99"/>
    </w:p>
    <w:p>
      <w:pPr>
        <w:ind w:firstLine="482"/>
        <w:rPr>
          <w:color w:val="auto"/>
        </w:rPr>
      </w:pPr>
      <w:r>
        <w:rPr>
          <w:rFonts w:hint="eastAsia"/>
          <w:b/>
          <w:color w:val="auto"/>
        </w:rPr>
        <w:t>（1）无组织废气</w:t>
      </w:r>
    </w:p>
    <w:p>
      <w:pPr>
        <w:ind w:firstLine="480"/>
        <w:rPr>
          <w:color w:val="auto"/>
        </w:rPr>
      </w:pPr>
      <w:r>
        <w:rPr>
          <w:rFonts w:hint="eastAsia"/>
          <w:color w:val="auto"/>
        </w:rPr>
        <w:t>本项目无组织排放废气污染物监测结果见下表：</w:t>
      </w:r>
    </w:p>
    <w:p>
      <w:pPr>
        <w:pStyle w:val="37"/>
        <w:rPr>
          <w:color w:val="auto"/>
        </w:rPr>
      </w:pPr>
      <w:r>
        <w:rPr>
          <w:rFonts w:hint="eastAsia"/>
          <w:color w:val="auto"/>
        </w:rPr>
        <w:t>表 9.1</w:t>
      </w:r>
      <w:r>
        <w:rPr>
          <w:color w:val="auto"/>
        </w:rPr>
        <w:noBreakHyphen/>
      </w:r>
      <w:r>
        <w:rPr>
          <w:color w:val="auto"/>
        </w:rPr>
        <w:fldChar w:fldCharType="begin"/>
      </w:r>
      <w:r>
        <w:rPr>
          <w:color w:val="auto"/>
        </w:rPr>
        <w:instrText xml:space="preserve"> </w:instrText>
      </w:r>
      <w:r>
        <w:rPr>
          <w:rFonts w:hint="eastAsia"/>
          <w:color w:val="auto"/>
        </w:rPr>
        <w:instrText xml:space="preserve">SEQ 表 \* ARABIC \s 2</w:instrText>
      </w:r>
      <w:r>
        <w:rPr>
          <w:color w:val="auto"/>
        </w:rPr>
        <w:instrText xml:space="preserve"> </w:instrText>
      </w:r>
      <w:r>
        <w:rPr>
          <w:color w:val="auto"/>
        </w:rPr>
        <w:fldChar w:fldCharType="separate"/>
      </w:r>
      <w:r>
        <w:rPr>
          <w:color w:val="auto"/>
        </w:rPr>
        <w:t>2</w:t>
      </w:r>
      <w:r>
        <w:rPr>
          <w:color w:val="auto"/>
        </w:rPr>
        <w:fldChar w:fldCharType="end"/>
      </w:r>
      <w:r>
        <w:rPr>
          <w:color w:val="auto"/>
        </w:rPr>
        <w:t xml:space="preserve"> </w:t>
      </w:r>
      <w:r>
        <w:rPr>
          <w:rFonts w:hint="eastAsia"/>
          <w:color w:val="auto"/>
        </w:rPr>
        <w:t>无组织废气检测结果（1）</w:t>
      </w:r>
    </w:p>
    <w:tbl>
      <w:tblPr>
        <w:tblStyle w:val="24"/>
        <w:tblW w:w="852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9"/>
        <w:gridCol w:w="1388"/>
        <w:gridCol w:w="1342"/>
        <w:gridCol w:w="1097"/>
        <w:gridCol w:w="1097"/>
        <w:gridCol w:w="1099"/>
        <w:gridCol w:w="12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4" w:hRule="atLeast"/>
          <w:jc w:val="center"/>
        </w:trPr>
        <w:tc>
          <w:tcPr>
            <w:tcW w:w="1279" w:type="dxa"/>
            <w:vMerge w:val="restart"/>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rPr>
                <w:rFonts w:cs="Times New Roman"/>
                <w:b/>
                <w:bCs/>
                <w:color w:val="auto"/>
                <w:sz w:val="21"/>
                <w:szCs w:val="21"/>
              </w:rPr>
            </w:pPr>
            <w:r>
              <w:rPr>
                <w:rFonts w:ascii="宋体" w:hAnsi="宋体" w:cs="Times New Roman"/>
                <w:b/>
                <w:bCs/>
                <w:color w:val="auto"/>
                <w:sz w:val="21"/>
                <w:szCs w:val="21"/>
              </w:rPr>
              <w:t>检测日期</w:t>
            </w:r>
          </w:p>
        </w:tc>
        <w:tc>
          <w:tcPr>
            <w:tcW w:w="1388" w:type="dxa"/>
            <w:vMerge w:val="restart"/>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b/>
                <w:bCs/>
                <w:color w:val="auto"/>
                <w:sz w:val="21"/>
                <w:szCs w:val="21"/>
              </w:rPr>
            </w:pPr>
            <w:r>
              <w:rPr>
                <w:rFonts w:ascii="宋体" w:hAnsi="宋体" w:cs="Times New Roman"/>
                <w:b/>
                <w:bCs/>
                <w:color w:val="auto"/>
                <w:sz w:val="21"/>
                <w:szCs w:val="21"/>
              </w:rPr>
              <w:t>检测项目</w:t>
            </w:r>
          </w:p>
        </w:tc>
        <w:tc>
          <w:tcPr>
            <w:tcW w:w="1342" w:type="dxa"/>
            <w:vMerge w:val="restart"/>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b/>
                <w:bCs/>
                <w:color w:val="auto"/>
                <w:sz w:val="21"/>
                <w:szCs w:val="21"/>
              </w:rPr>
            </w:pPr>
            <w:r>
              <w:rPr>
                <w:rFonts w:ascii="宋体" w:hAnsi="宋体" w:cs="Times New Roman"/>
                <w:b/>
                <w:bCs/>
                <w:color w:val="auto"/>
                <w:sz w:val="21"/>
                <w:szCs w:val="21"/>
              </w:rPr>
              <w:t>检测点位</w:t>
            </w:r>
          </w:p>
        </w:tc>
        <w:tc>
          <w:tcPr>
            <w:tcW w:w="3293" w:type="dxa"/>
            <w:gridSpan w:val="3"/>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b/>
                <w:bCs/>
                <w:color w:val="auto"/>
                <w:kern w:val="0"/>
                <w:sz w:val="21"/>
                <w:szCs w:val="21"/>
              </w:rPr>
            </w:pPr>
            <w:r>
              <w:rPr>
                <w:rFonts w:cs="Times New Roman"/>
                <w:b/>
                <w:bCs/>
                <w:color w:val="auto"/>
                <w:kern w:val="0"/>
                <w:sz w:val="21"/>
                <w:szCs w:val="21"/>
              </w:rPr>
              <w:t xml:space="preserve"> </w:t>
            </w:r>
            <w:r>
              <w:rPr>
                <w:rFonts w:ascii="宋体" w:hAnsi="宋体" w:cs="Times New Roman"/>
                <w:b/>
                <w:bCs/>
                <w:color w:val="auto"/>
                <w:kern w:val="0"/>
                <w:sz w:val="21"/>
                <w:szCs w:val="21"/>
              </w:rPr>
              <w:t>检测结果（</w:t>
            </w:r>
            <w:r>
              <w:rPr>
                <w:rFonts w:cs="Times New Roman"/>
                <w:b/>
                <w:bCs/>
                <w:color w:val="auto"/>
                <w:kern w:val="0"/>
                <w:sz w:val="21"/>
                <w:szCs w:val="21"/>
              </w:rPr>
              <w:t>mg/m</w:t>
            </w:r>
            <w:r>
              <w:rPr>
                <w:rFonts w:cs="Times New Roman"/>
                <w:b/>
                <w:bCs/>
                <w:color w:val="auto"/>
                <w:kern w:val="0"/>
                <w:sz w:val="21"/>
                <w:szCs w:val="21"/>
                <w:vertAlign w:val="superscript"/>
              </w:rPr>
              <w:t>3</w:t>
            </w:r>
            <w:r>
              <w:rPr>
                <w:rFonts w:ascii="宋体" w:hAnsi="宋体" w:cs="Times New Roman"/>
                <w:b/>
                <w:bCs/>
                <w:color w:val="auto"/>
                <w:kern w:val="0"/>
                <w:sz w:val="21"/>
                <w:szCs w:val="21"/>
              </w:rPr>
              <w:t>）</w:t>
            </w:r>
          </w:p>
        </w:tc>
        <w:tc>
          <w:tcPr>
            <w:tcW w:w="1220" w:type="dxa"/>
            <w:vMerge w:val="restart"/>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rPr>
                <w:rFonts w:cs="Times New Roman"/>
                <w:b/>
                <w:bCs/>
                <w:color w:val="auto"/>
                <w:sz w:val="21"/>
                <w:szCs w:val="21"/>
              </w:rPr>
            </w:pPr>
            <w:r>
              <w:rPr>
                <w:rFonts w:ascii="宋体" w:hAnsi="宋体" w:cs="Times New Roman"/>
                <w:b/>
                <w:bCs/>
                <w:color w:val="auto"/>
                <w:sz w:val="21"/>
                <w:szCs w:val="21"/>
              </w:rPr>
              <w:t>浓度限值（</w:t>
            </w:r>
            <w:r>
              <w:rPr>
                <w:rFonts w:cs="Times New Roman"/>
                <w:b/>
                <w:bCs/>
                <w:color w:val="auto"/>
                <w:sz w:val="21"/>
                <w:szCs w:val="21"/>
              </w:rPr>
              <w:t>mg/m</w:t>
            </w:r>
            <w:r>
              <w:rPr>
                <w:rFonts w:cs="Times New Roman"/>
                <w:b/>
                <w:bCs/>
                <w:color w:val="auto"/>
                <w:sz w:val="21"/>
                <w:szCs w:val="21"/>
                <w:vertAlign w:val="superscript"/>
              </w:rPr>
              <w:t>3</w:t>
            </w:r>
            <w:r>
              <w:rPr>
                <w:rFonts w:ascii="宋体" w:hAnsi="宋体" w:cs="Times New Roman"/>
                <w:b/>
                <w:bCs/>
                <w:color w:val="auto"/>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33" w:hRule="atLeast"/>
          <w:jc w:val="center"/>
        </w:trPr>
        <w:tc>
          <w:tcPr>
            <w:tcW w:w="1279"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b/>
                <w:bCs/>
                <w:color w:val="auto"/>
                <w:sz w:val="21"/>
                <w:szCs w:val="21"/>
              </w:rPr>
            </w:pPr>
          </w:p>
        </w:tc>
        <w:tc>
          <w:tcPr>
            <w:tcW w:w="1388"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b/>
                <w:bCs/>
                <w:color w:val="auto"/>
                <w:sz w:val="21"/>
                <w:szCs w:val="21"/>
              </w:rPr>
            </w:pPr>
          </w:p>
        </w:tc>
        <w:tc>
          <w:tcPr>
            <w:tcW w:w="1342"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b/>
                <w:bCs/>
                <w:color w:val="auto"/>
                <w:sz w:val="21"/>
                <w:szCs w:val="21"/>
              </w:rPr>
            </w:pPr>
          </w:p>
        </w:tc>
        <w:tc>
          <w:tcPr>
            <w:tcW w:w="1097"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b/>
                <w:bCs/>
                <w:color w:val="auto"/>
                <w:kern w:val="0"/>
                <w:sz w:val="21"/>
                <w:szCs w:val="21"/>
              </w:rPr>
            </w:pPr>
            <w:r>
              <w:rPr>
                <w:rFonts w:ascii="宋体" w:hAnsi="宋体" w:cs="Times New Roman"/>
                <w:b/>
                <w:bCs/>
                <w:color w:val="auto"/>
                <w:kern w:val="0"/>
                <w:sz w:val="21"/>
                <w:szCs w:val="21"/>
              </w:rPr>
              <w:t>第</w:t>
            </w:r>
            <w:r>
              <w:rPr>
                <w:rFonts w:cs="Times New Roman"/>
                <w:b/>
                <w:bCs/>
                <w:color w:val="auto"/>
                <w:kern w:val="0"/>
                <w:sz w:val="21"/>
                <w:szCs w:val="21"/>
              </w:rPr>
              <w:t>1</w:t>
            </w:r>
            <w:r>
              <w:rPr>
                <w:rFonts w:ascii="宋体" w:hAnsi="宋体" w:cs="Times New Roman"/>
                <w:b/>
                <w:bCs/>
                <w:color w:val="auto"/>
                <w:kern w:val="0"/>
                <w:sz w:val="21"/>
                <w:szCs w:val="21"/>
              </w:rPr>
              <w:t>次</w:t>
            </w:r>
          </w:p>
        </w:tc>
        <w:tc>
          <w:tcPr>
            <w:tcW w:w="1097"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b/>
                <w:bCs/>
                <w:color w:val="auto"/>
                <w:kern w:val="0"/>
                <w:sz w:val="21"/>
                <w:szCs w:val="21"/>
              </w:rPr>
            </w:pPr>
            <w:r>
              <w:rPr>
                <w:rFonts w:ascii="宋体" w:hAnsi="宋体" w:cs="Times New Roman"/>
                <w:b/>
                <w:bCs/>
                <w:color w:val="auto"/>
                <w:kern w:val="0"/>
                <w:sz w:val="21"/>
                <w:szCs w:val="21"/>
              </w:rPr>
              <w:t>第</w:t>
            </w:r>
            <w:r>
              <w:rPr>
                <w:rFonts w:cs="Times New Roman"/>
                <w:b/>
                <w:bCs/>
                <w:color w:val="auto"/>
                <w:kern w:val="0"/>
                <w:sz w:val="21"/>
                <w:szCs w:val="21"/>
              </w:rPr>
              <w:t>2</w:t>
            </w:r>
            <w:r>
              <w:rPr>
                <w:rFonts w:ascii="宋体" w:hAnsi="宋体" w:cs="Times New Roman"/>
                <w:b/>
                <w:bCs/>
                <w:color w:val="auto"/>
                <w:kern w:val="0"/>
                <w:sz w:val="21"/>
                <w:szCs w:val="21"/>
              </w:rPr>
              <w:t>次</w:t>
            </w:r>
          </w:p>
        </w:tc>
        <w:tc>
          <w:tcPr>
            <w:tcW w:w="1099"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b/>
                <w:bCs/>
                <w:color w:val="auto"/>
                <w:kern w:val="0"/>
                <w:sz w:val="21"/>
                <w:szCs w:val="21"/>
              </w:rPr>
            </w:pPr>
            <w:r>
              <w:rPr>
                <w:rFonts w:ascii="宋体" w:hAnsi="宋体" w:cs="Times New Roman"/>
                <w:b/>
                <w:bCs/>
                <w:color w:val="auto"/>
                <w:kern w:val="0"/>
                <w:sz w:val="21"/>
                <w:szCs w:val="21"/>
              </w:rPr>
              <w:t>第</w:t>
            </w:r>
            <w:r>
              <w:rPr>
                <w:rFonts w:cs="Times New Roman"/>
                <w:b/>
                <w:bCs/>
                <w:color w:val="auto"/>
                <w:kern w:val="0"/>
                <w:sz w:val="21"/>
                <w:szCs w:val="21"/>
              </w:rPr>
              <w:t>3</w:t>
            </w:r>
            <w:r>
              <w:rPr>
                <w:rFonts w:ascii="宋体" w:hAnsi="宋体" w:cs="Times New Roman"/>
                <w:b/>
                <w:bCs/>
                <w:color w:val="auto"/>
                <w:kern w:val="0"/>
                <w:sz w:val="21"/>
                <w:szCs w:val="21"/>
              </w:rPr>
              <w:t>次</w:t>
            </w:r>
          </w:p>
        </w:tc>
        <w:tc>
          <w:tcPr>
            <w:tcW w:w="1220"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b/>
                <w:bCs/>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jc w:val="center"/>
        </w:trPr>
        <w:tc>
          <w:tcPr>
            <w:tcW w:w="1279" w:type="dxa"/>
            <w:vMerge w:val="restart"/>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r>
              <w:rPr>
                <w:rFonts w:cs="Times New Roman"/>
                <w:color w:val="auto"/>
                <w:sz w:val="21"/>
                <w:szCs w:val="21"/>
              </w:rPr>
              <w:t>2025.12.10</w:t>
            </w:r>
          </w:p>
        </w:tc>
        <w:tc>
          <w:tcPr>
            <w:tcW w:w="1388" w:type="dxa"/>
            <w:vMerge w:val="restart"/>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kern w:val="0"/>
                <w:sz w:val="21"/>
                <w:szCs w:val="21"/>
              </w:rPr>
            </w:pPr>
            <w:r>
              <w:rPr>
                <w:rFonts w:ascii="宋体" w:hAnsi="宋体" w:cs="Times New Roman"/>
                <w:color w:val="auto"/>
                <w:kern w:val="0"/>
                <w:sz w:val="21"/>
                <w:szCs w:val="21"/>
              </w:rPr>
              <w:t>颗粒物</w:t>
            </w:r>
          </w:p>
        </w:tc>
        <w:tc>
          <w:tcPr>
            <w:tcW w:w="1342"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r>
              <w:rPr>
                <w:rFonts w:ascii="宋体" w:hAnsi="宋体" w:cs="Times New Roman"/>
                <w:color w:val="auto"/>
                <w:sz w:val="21"/>
                <w:szCs w:val="21"/>
              </w:rPr>
              <w:t>上风向</w:t>
            </w:r>
            <w:r>
              <w:rPr>
                <w:rFonts w:cs="Times New Roman"/>
                <w:color w:val="auto"/>
                <w:kern w:val="0"/>
                <w:sz w:val="21"/>
                <w:szCs w:val="21"/>
              </w:rPr>
              <w:t>O</w:t>
            </w:r>
            <w:r>
              <w:rPr>
                <w:rFonts w:cs="Times New Roman"/>
                <w:color w:val="auto"/>
                <w:sz w:val="21"/>
                <w:szCs w:val="21"/>
              </w:rPr>
              <w:t>1</w:t>
            </w:r>
          </w:p>
        </w:tc>
        <w:tc>
          <w:tcPr>
            <w:tcW w:w="1097"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0.118 </w:t>
            </w:r>
          </w:p>
        </w:tc>
        <w:tc>
          <w:tcPr>
            <w:tcW w:w="1097"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0.120 </w:t>
            </w:r>
          </w:p>
        </w:tc>
        <w:tc>
          <w:tcPr>
            <w:tcW w:w="1099"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0.126 </w:t>
            </w:r>
          </w:p>
        </w:tc>
        <w:tc>
          <w:tcPr>
            <w:tcW w:w="1220" w:type="dxa"/>
            <w:vMerge w:val="restart"/>
            <w:tcBorders>
              <w:top w:val="nil"/>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jc w:val="center"/>
        </w:trPr>
        <w:tc>
          <w:tcPr>
            <w:tcW w:w="127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88"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kern w:val="0"/>
                <w:sz w:val="21"/>
                <w:szCs w:val="21"/>
              </w:rPr>
            </w:pPr>
          </w:p>
        </w:tc>
        <w:tc>
          <w:tcPr>
            <w:tcW w:w="1342"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r>
              <w:rPr>
                <w:rFonts w:ascii="宋体" w:hAnsi="宋体" w:cs="Times New Roman"/>
                <w:color w:val="auto"/>
                <w:sz w:val="21"/>
                <w:szCs w:val="21"/>
              </w:rPr>
              <w:t>下风向</w:t>
            </w:r>
            <w:r>
              <w:rPr>
                <w:rFonts w:cs="Times New Roman"/>
                <w:color w:val="auto"/>
                <w:kern w:val="0"/>
                <w:sz w:val="21"/>
                <w:szCs w:val="21"/>
              </w:rPr>
              <w:t>O</w:t>
            </w:r>
            <w:r>
              <w:rPr>
                <w:rFonts w:cs="Times New Roman"/>
                <w:color w:val="auto"/>
                <w:sz w:val="21"/>
                <w:szCs w:val="21"/>
              </w:rPr>
              <w:t>2</w:t>
            </w:r>
          </w:p>
        </w:tc>
        <w:tc>
          <w:tcPr>
            <w:tcW w:w="1097"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0.192 </w:t>
            </w:r>
          </w:p>
        </w:tc>
        <w:tc>
          <w:tcPr>
            <w:tcW w:w="1097"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0.231 </w:t>
            </w:r>
          </w:p>
        </w:tc>
        <w:tc>
          <w:tcPr>
            <w:tcW w:w="1099"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0.205 </w:t>
            </w:r>
          </w:p>
        </w:tc>
        <w:tc>
          <w:tcPr>
            <w:tcW w:w="122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jc w:val="center"/>
        </w:trPr>
        <w:tc>
          <w:tcPr>
            <w:tcW w:w="127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88"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kern w:val="0"/>
                <w:sz w:val="21"/>
                <w:szCs w:val="21"/>
              </w:rPr>
            </w:pPr>
          </w:p>
        </w:tc>
        <w:tc>
          <w:tcPr>
            <w:tcW w:w="1342"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r>
              <w:rPr>
                <w:rFonts w:ascii="宋体" w:hAnsi="宋体" w:cs="Times New Roman"/>
                <w:color w:val="auto"/>
                <w:sz w:val="21"/>
                <w:szCs w:val="21"/>
              </w:rPr>
              <w:t>下风向</w:t>
            </w:r>
            <w:r>
              <w:rPr>
                <w:rFonts w:cs="Times New Roman"/>
                <w:color w:val="auto"/>
                <w:kern w:val="0"/>
                <w:sz w:val="21"/>
                <w:szCs w:val="21"/>
              </w:rPr>
              <w:t>O</w:t>
            </w:r>
            <w:r>
              <w:rPr>
                <w:rFonts w:cs="Times New Roman"/>
                <w:color w:val="auto"/>
                <w:sz w:val="21"/>
                <w:szCs w:val="21"/>
              </w:rPr>
              <w:t>3</w:t>
            </w:r>
          </w:p>
        </w:tc>
        <w:tc>
          <w:tcPr>
            <w:tcW w:w="1097"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0.228 </w:t>
            </w:r>
          </w:p>
        </w:tc>
        <w:tc>
          <w:tcPr>
            <w:tcW w:w="1097"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0.250 </w:t>
            </w:r>
          </w:p>
        </w:tc>
        <w:tc>
          <w:tcPr>
            <w:tcW w:w="1099"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0.221 </w:t>
            </w:r>
          </w:p>
        </w:tc>
        <w:tc>
          <w:tcPr>
            <w:tcW w:w="122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jc w:val="center"/>
        </w:trPr>
        <w:tc>
          <w:tcPr>
            <w:tcW w:w="127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88"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kern w:val="0"/>
                <w:sz w:val="21"/>
                <w:szCs w:val="21"/>
              </w:rPr>
            </w:pPr>
          </w:p>
        </w:tc>
        <w:tc>
          <w:tcPr>
            <w:tcW w:w="1342"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r>
              <w:rPr>
                <w:rFonts w:ascii="宋体" w:hAnsi="宋体" w:cs="Times New Roman"/>
                <w:color w:val="auto"/>
                <w:sz w:val="21"/>
                <w:szCs w:val="21"/>
              </w:rPr>
              <w:t>下风向</w:t>
            </w:r>
            <w:r>
              <w:rPr>
                <w:rFonts w:cs="Times New Roman"/>
                <w:color w:val="auto"/>
                <w:kern w:val="0"/>
                <w:sz w:val="21"/>
                <w:szCs w:val="21"/>
              </w:rPr>
              <w:t>O</w:t>
            </w:r>
            <w:r>
              <w:rPr>
                <w:rFonts w:cs="Times New Roman"/>
                <w:color w:val="auto"/>
                <w:sz w:val="21"/>
                <w:szCs w:val="21"/>
              </w:rPr>
              <w:t>4</w:t>
            </w:r>
          </w:p>
        </w:tc>
        <w:tc>
          <w:tcPr>
            <w:tcW w:w="1097"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0.256 </w:t>
            </w:r>
          </w:p>
        </w:tc>
        <w:tc>
          <w:tcPr>
            <w:tcW w:w="1097"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0.251 </w:t>
            </w:r>
          </w:p>
        </w:tc>
        <w:tc>
          <w:tcPr>
            <w:tcW w:w="1099"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0.263 </w:t>
            </w:r>
          </w:p>
        </w:tc>
        <w:tc>
          <w:tcPr>
            <w:tcW w:w="122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jc w:val="center"/>
        </w:trPr>
        <w:tc>
          <w:tcPr>
            <w:tcW w:w="127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88" w:type="dxa"/>
            <w:vMerge w:val="restart"/>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kern w:val="0"/>
                <w:sz w:val="21"/>
                <w:szCs w:val="21"/>
              </w:rPr>
            </w:pPr>
            <w:r>
              <w:rPr>
                <w:rFonts w:cs="Times New Roman"/>
                <w:color w:val="auto"/>
                <w:kern w:val="0"/>
                <w:sz w:val="21"/>
                <w:szCs w:val="21"/>
              </w:rPr>
              <w:t>*</w:t>
            </w:r>
            <w:r>
              <w:rPr>
                <w:rFonts w:ascii="宋体" w:hAnsi="宋体" w:cs="Times New Roman"/>
                <w:color w:val="auto"/>
                <w:kern w:val="0"/>
                <w:sz w:val="21"/>
                <w:szCs w:val="21"/>
              </w:rPr>
              <w:t>锰及其化</w:t>
            </w:r>
          </w:p>
          <w:p>
            <w:pPr>
              <w:widowControl/>
              <w:spacing w:line="240" w:lineRule="auto"/>
              <w:ind w:firstLine="0" w:firstLineChars="0"/>
              <w:jc w:val="center"/>
              <w:rPr>
                <w:rFonts w:cs="Times New Roman"/>
                <w:color w:val="auto"/>
                <w:sz w:val="21"/>
                <w:szCs w:val="21"/>
              </w:rPr>
            </w:pPr>
            <w:r>
              <w:rPr>
                <w:rFonts w:ascii="宋体" w:hAnsi="宋体" w:cs="Times New Roman"/>
                <w:color w:val="auto"/>
                <w:kern w:val="0"/>
                <w:sz w:val="21"/>
                <w:szCs w:val="21"/>
              </w:rPr>
              <w:t>合物</w:t>
            </w:r>
          </w:p>
        </w:tc>
        <w:tc>
          <w:tcPr>
            <w:tcW w:w="1342"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r>
              <w:rPr>
                <w:rFonts w:ascii="宋体" w:hAnsi="宋体" w:cs="Times New Roman"/>
                <w:color w:val="auto"/>
                <w:sz w:val="21"/>
                <w:szCs w:val="21"/>
              </w:rPr>
              <w:t>上风向</w:t>
            </w:r>
            <w:r>
              <w:rPr>
                <w:rFonts w:cs="Times New Roman"/>
                <w:color w:val="auto"/>
                <w:kern w:val="0"/>
                <w:sz w:val="21"/>
                <w:szCs w:val="21"/>
              </w:rPr>
              <w:t>O</w:t>
            </w:r>
            <w:r>
              <w:rPr>
                <w:rFonts w:cs="Times New Roman"/>
                <w:color w:val="auto"/>
                <w:sz w:val="21"/>
                <w:szCs w:val="21"/>
              </w:rPr>
              <w:t>1</w:t>
            </w:r>
          </w:p>
        </w:tc>
        <w:tc>
          <w:tcPr>
            <w:tcW w:w="1097"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ND</w:t>
            </w:r>
          </w:p>
        </w:tc>
        <w:tc>
          <w:tcPr>
            <w:tcW w:w="1097"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ND</w:t>
            </w:r>
          </w:p>
        </w:tc>
        <w:tc>
          <w:tcPr>
            <w:tcW w:w="109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ND</w:t>
            </w:r>
          </w:p>
        </w:tc>
        <w:tc>
          <w:tcPr>
            <w:tcW w:w="1220" w:type="dxa"/>
            <w:vMerge w:val="restart"/>
            <w:tcBorders>
              <w:top w:val="nil"/>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0.040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jc w:val="center"/>
        </w:trPr>
        <w:tc>
          <w:tcPr>
            <w:tcW w:w="127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88"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42"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r>
              <w:rPr>
                <w:rFonts w:ascii="宋体" w:hAnsi="宋体" w:cs="Times New Roman"/>
                <w:color w:val="auto"/>
                <w:sz w:val="21"/>
                <w:szCs w:val="21"/>
              </w:rPr>
              <w:t>下风向</w:t>
            </w:r>
            <w:r>
              <w:rPr>
                <w:rFonts w:cs="Times New Roman"/>
                <w:color w:val="auto"/>
                <w:kern w:val="0"/>
                <w:sz w:val="21"/>
                <w:szCs w:val="21"/>
              </w:rPr>
              <w:t>O</w:t>
            </w:r>
            <w:r>
              <w:rPr>
                <w:rFonts w:cs="Times New Roman"/>
                <w:color w:val="auto"/>
                <w:sz w:val="21"/>
                <w:szCs w:val="21"/>
              </w:rPr>
              <w:t>2</w:t>
            </w:r>
          </w:p>
        </w:tc>
        <w:tc>
          <w:tcPr>
            <w:tcW w:w="1097"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ND</w:t>
            </w:r>
          </w:p>
        </w:tc>
        <w:tc>
          <w:tcPr>
            <w:tcW w:w="1097"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ND</w:t>
            </w:r>
          </w:p>
        </w:tc>
        <w:tc>
          <w:tcPr>
            <w:tcW w:w="109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ND</w:t>
            </w:r>
          </w:p>
        </w:tc>
        <w:tc>
          <w:tcPr>
            <w:tcW w:w="122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jc w:val="center"/>
        </w:trPr>
        <w:tc>
          <w:tcPr>
            <w:tcW w:w="127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88"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42"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r>
              <w:rPr>
                <w:rFonts w:ascii="宋体" w:hAnsi="宋体" w:cs="Times New Roman"/>
                <w:color w:val="auto"/>
                <w:sz w:val="21"/>
                <w:szCs w:val="21"/>
              </w:rPr>
              <w:t>下风向</w:t>
            </w:r>
            <w:r>
              <w:rPr>
                <w:rFonts w:cs="Times New Roman"/>
                <w:color w:val="auto"/>
                <w:kern w:val="0"/>
                <w:sz w:val="21"/>
                <w:szCs w:val="21"/>
              </w:rPr>
              <w:t>O</w:t>
            </w:r>
            <w:r>
              <w:rPr>
                <w:rFonts w:cs="Times New Roman"/>
                <w:color w:val="auto"/>
                <w:sz w:val="21"/>
                <w:szCs w:val="21"/>
              </w:rPr>
              <w:t>3</w:t>
            </w:r>
          </w:p>
        </w:tc>
        <w:tc>
          <w:tcPr>
            <w:tcW w:w="1097"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ND</w:t>
            </w:r>
          </w:p>
        </w:tc>
        <w:tc>
          <w:tcPr>
            <w:tcW w:w="1097"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ND</w:t>
            </w:r>
          </w:p>
        </w:tc>
        <w:tc>
          <w:tcPr>
            <w:tcW w:w="109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ND</w:t>
            </w:r>
          </w:p>
        </w:tc>
        <w:tc>
          <w:tcPr>
            <w:tcW w:w="122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jc w:val="center"/>
        </w:trPr>
        <w:tc>
          <w:tcPr>
            <w:tcW w:w="127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88"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42"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r>
              <w:rPr>
                <w:rFonts w:ascii="宋体" w:hAnsi="宋体" w:cs="Times New Roman"/>
                <w:color w:val="auto"/>
                <w:sz w:val="21"/>
                <w:szCs w:val="21"/>
              </w:rPr>
              <w:t>下风向</w:t>
            </w:r>
            <w:r>
              <w:rPr>
                <w:rFonts w:cs="Times New Roman"/>
                <w:color w:val="auto"/>
                <w:kern w:val="0"/>
                <w:sz w:val="21"/>
                <w:szCs w:val="21"/>
              </w:rPr>
              <w:t>O</w:t>
            </w:r>
            <w:r>
              <w:rPr>
                <w:rFonts w:cs="Times New Roman"/>
                <w:color w:val="auto"/>
                <w:sz w:val="21"/>
                <w:szCs w:val="21"/>
              </w:rPr>
              <w:t>4</w:t>
            </w:r>
          </w:p>
        </w:tc>
        <w:tc>
          <w:tcPr>
            <w:tcW w:w="1097"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ND</w:t>
            </w:r>
          </w:p>
        </w:tc>
        <w:tc>
          <w:tcPr>
            <w:tcW w:w="1097"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ND</w:t>
            </w:r>
          </w:p>
        </w:tc>
        <w:tc>
          <w:tcPr>
            <w:tcW w:w="109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ND</w:t>
            </w:r>
          </w:p>
        </w:tc>
        <w:tc>
          <w:tcPr>
            <w:tcW w:w="122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jc w:val="center"/>
        </w:trPr>
        <w:tc>
          <w:tcPr>
            <w:tcW w:w="127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88" w:type="dxa"/>
            <w:vMerge w:val="restart"/>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kern w:val="0"/>
                <w:sz w:val="21"/>
                <w:szCs w:val="21"/>
              </w:rPr>
            </w:pPr>
            <w:r>
              <w:rPr>
                <w:rFonts w:cs="Times New Roman"/>
                <w:color w:val="auto"/>
                <w:kern w:val="0"/>
                <w:sz w:val="21"/>
                <w:szCs w:val="21"/>
              </w:rPr>
              <w:t>*</w:t>
            </w:r>
            <w:r>
              <w:rPr>
                <w:rFonts w:ascii="宋体" w:hAnsi="宋体" w:cs="Times New Roman"/>
                <w:color w:val="auto"/>
                <w:kern w:val="0"/>
                <w:sz w:val="21"/>
                <w:szCs w:val="21"/>
              </w:rPr>
              <w:t>镍及其化</w:t>
            </w:r>
          </w:p>
          <w:p>
            <w:pPr>
              <w:widowControl/>
              <w:spacing w:line="240" w:lineRule="auto"/>
              <w:ind w:firstLine="0" w:firstLineChars="0"/>
              <w:jc w:val="center"/>
              <w:rPr>
                <w:rFonts w:cs="Times New Roman"/>
                <w:color w:val="auto"/>
                <w:sz w:val="21"/>
                <w:szCs w:val="21"/>
              </w:rPr>
            </w:pPr>
            <w:r>
              <w:rPr>
                <w:rFonts w:ascii="宋体" w:hAnsi="宋体" w:cs="Times New Roman"/>
                <w:color w:val="auto"/>
                <w:kern w:val="0"/>
                <w:sz w:val="21"/>
                <w:szCs w:val="21"/>
              </w:rPr>
              <w:t>合物</w:t>
            </w:r>
          </w:p>
        </w:tc>
        <w:tc>
          <w:tcPr>
            <w:tcW w:w="1342"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r>
              <w:rPr>
                <w:rFonts w:ascii="宋体" w:hAnsi="宋体" w:cs="Times New Roman"/>
                <w:color w:val="auto"/>
                <w:sz w:val="21"/>
                <w:szCs w:val="21"/>
              </w:rPr>
              <w:t>上风向</w:t>
            </w:r>
            <w:r>
              <w:rPr>
                <w:rFonts w:cs="Times New Roman"/>
                <w:color w:val="auto"/>
                <w:kern w:val="0"/>
                <w:sz w:val="21"/>
                <w:szCs w:val="21"/>
              </w:rPr>
              <w:t>O</w:t>
            </w:r>
            <w:r>
              <w:rPr>
                <w:rFonts w:cs="Times New Roman"/>
                <w:color w:val="auto"/>
                <w:sz w:val="21"/>
                <w:szCs w:val="21"/>
              </w:rPr>
              <w:t>1</w:t>
            </w:r>
          </w:p>
        </w:tc>
        <w:tc>
          <w:tcPr>
            <w:tcW w:w="1097"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ND</w:t>
            </w:r>
          </w:p>
        </w:tc>
        <w:tc>
          <w:tcPr>
            <w:tcW w:w="1097"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ND</w:t>
            </w:r>
          </w:p>
        </w:tc>
        <w:tc>
          <w:tcPr>
            <w:tcW w:w="109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ND</w:t>
            </w:r>
          </w:p>
        </w:tc>
        <w:tc>
          <w:tcPr>
            <w:tcW w:w="1220" w:type="dxa"/>
            <w:vMerge w:val="restart"/>
            <w:tcBorders>
              <w:top w:val="nil"/>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0.040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jc w:val="center"/>
        </w:trPr>
        <w:tc>
          <w:tcPr>
            <w:tcW w:w="127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88"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42"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r>
              <w:rPr>
                <w:rFonts w:ascii="宋体" w:hAnsi="宋体" w:cs="Times New Roman"/>
                <w:color w:val="auto"/>
                <w:sz w:val="21"/>
                <w:szCs w:val="21"/>
              </w:rPr>
              <w:t>下风向</w:t>
            </w:r>
            <w:r>
              <w:rPr>
                <w:rFonts w:cs="Times New Roman"/>
                <w:color w:val="auto"/>
                <w:kern w:val="0"/>
                <w:sz w:val="21"/>
                <w:szCs w:val="21"/>
              </w:rPr>
              <w:t>O</w:t>
            </w:r>
            <w:r>
              <w:rPr>
                <w:rFonts w:cs="Times New Roman"/>
                <w:color w:val="auto"/>
                <w:sz w:val="21"/>
                <w:szCs w:val="21"/>
              </w:rPr>
              <w:t>2</w:t>
            </w:r>
          </w:p>
        </w:tc>
        <w:tc>
          <w:tcPr>
            <w:tcW w:w="1097"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ND</w:t>
            </w:r>
          </w:p>
        </w:tc>
        <w:tc>
          <w:tcPr>
            <w:tcW w:w="1097"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ND</w:t>
            </w:r>
          </w:p>
        </w:tc>
        <w:tc>
          <w:tcPr>
            <w:tcW w:w="109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ND</w:t>
            </w:r>
          </w:p>
        </w:tc>
        <w:tc>
          <w:tcPr>
            <w:tcW w:w="122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jc w:val="center"/>
        </w:trPr>
        <w:tc>
          <w:tcPr>
            <w:tcW w:w="127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88"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42"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r>
              <w:rPr>
                <w:rFonts w:ascii="宋体" w:hAnsi="宋体" w:cs="Times New Roman"/>
                <w:color w:val="auto"/>
                <w:sz w:val="21"/>
                <w:szCs w:val="21"/>
              </w:rPr>
              <w:t>下风向</w:t>
            </w:r>
            <w:r>
              <w:rPr>
                <w:rFonts w:cs="Times New Roman"/>
                <w:color w:val="auto"/>
                <w:kern w:val="0"/>
                <w:sz w:val="21"/>
                <w:szCs w:val="21"/>
              </w:rPr>
              <w:t>O</w:t>
            </w:r>
            <w:r>
              <w:rPr>
                <w:rFonts w:cs="Times New Roman"/>
                <w:color w:val="auto"/>
                <w:sz w:val="21"/>
                <w:szCs w:val="21"/>
              </w:rPr>
              <w:t>3</w:t>
            </w:r>
          </w:p>
        </w:tc>
        <w:tc>
          <w:tcPr>
            <w:tcW w:w="1097"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ND</w:t>
            </w:r>
          </w:p>
        </w:tc>
        <w:tc>
          <w:tcPr>
            <w:tcW w:w="1097"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ND</w:t>
            </w:r>
          </w:p>
        </w:tc>
        <w:tc>
          <w:tcPr>
            <w:tcW w:w="109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ND</w:t>
            </w:r>
          </w:p>
        </w:tc>
        <w:tc>
          <w:tcPr>
            <w:tcW w:w="122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jc w:val="center"/>
        </w:trPr>
        <w:tc>
          <w:tcPr>
            <w:tcW w:w="127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88"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42"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r>
              <w:rPr>
                <w:rFonts w:ascii="宋体" w:hAnsi="宋体" w:cs="Times New Roman"/>
                <w:color w:val="auto"/>
                <w:sz w:val="21"/>
                <w:szCs w:val="21"/>
              </w:rPr>
              <w:t>下风向</w:t>
            </w:r>
            <w:r>
              <w:rPr>
                <w:rFonts w:cs="Times New Roman"/>
                <w:color w:val="auto"/>
                <w:kern w:val="0"/>
                <w:sz w:val="21"/>
                <w:szCs w:val="21"/>
              </w:rPr>
              <w:t>O</w:t>
            </w:r>
            <w:r>
              <w:rPr>
                <w:rFonts w:cs="Times New Roman"/>
                <w:color w:val="auto"/>
                <w:sz w:val="21"/>
                <w:szCs w:val="21"/>
              </w:rPr>
              <w:t>4</w:t>
            </w:r>
          </w:p>
        </w:tc>
        <w:tc>
          <w:tcPr>
            <w:tcW w:w="1097"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ND</w:t>
            </w:r>
          </w:p>
        </w:tc>
        <w:tc>
          <w:tcPr>
            <w:tcW w:w="1097"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ND</w:t>
            </w:r>
          </w:p>
        </w:tc>
        <w:tc>
          <w:tcPr>
            <w:tcW w:w="109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ND</w:t>
            </w:r>
          </w:p>
        </w:tc>
        <w:tc>
          <w:tcPr>
            <w:tcW w:w="122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jc w:val="center"/>
        </w:trPr>
        <w:tc>
          <w:tcPr>
            <w:tcW w:w="127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88" w:type="dxa"/>
            <w:vMerge w:val="restart"/>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r>
              <w:rPr>
                <w:rFonts w:ascii="宋体" w:hAnsi="宋体" w:cs="Times New Roman"/>
                <w:color w:val="auto"/>
                <w:kern w:val="0"/>
                <w:sz w:val="21"/>
                <w:szCs w:val="21"/>
              </w:rPr>
              <w:t>二氧化硫</w:t>
            </w:r>
          </w:p>
        </w:tc>
        <w:tc>
          <w:tcPr>
            <w:tcW w:w="1342"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r>
              <w:rPr>
                <w:rFonts w:ascii="宋体" w:hAnsi="宋体" w:cs="Times New Roman"/>
                <w:color w:val="auto"/>
                <w:sz w:val="21"/>
                <w:szCs w:val="21"/>
              </w:rPr>
              <w:t>上风向</w:t>
            </w:r>
            <w:r>
              <w:rPr>
                <w:rFonts w:cs="Times New Roman"/>
                <w:color w:val="auto"/>
                <w:kern w:val="0"/>
                <w:sz w:val="21"/>
                <w:szCs w:val="21"/>
              </w:rPr>
              <w:t>O</w:t>
            </w:r>
            <w:r>
              <w:rPr>
                <w:rFonts w:cs="Times New Roman"/>
                <w:color w:val="auto"/>
                <w:sz w:val="21"/>
                <w:szCs w:val="21"/>
              </w:rPr>
              <w:t>1</w:t>
            </w:r>
          </w:p>
        </w:tc>
        <w:tc>
          <w:tcPr>
            <w:tcW w:w="1097"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0.013</w:t>
            </w:r>
          </w:p>
        </w:tc>
        <w:tc>
          <w:tcPr>
            <w:tcW w:w="1097"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0.015</w:t>
            </w:r>
          </w:p>
        </w:tc>
        <w:tc>
          <w:tcPr>
            <w:tcW w:w="109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0.018</w:t>
            </w:r>
          </w:p>
        </w:tc>
        <w:tc>
          <w:tcPr>
            <w:tcW w:w="1220" w:type="dxa"/>
            <w:vMerge w:val="restart"/>
            <w:tcBorders>
              <w:top w:val="nil"/>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jc w:val="center"/>
        </w:trPr>
        <w:tc>
          <w:tcPr>
            <w:tcW w:w="127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88"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42"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r>
              <w:rPr>
                <w:rFonts w:ascii="宋体" w:hAnsi="宋体" w:cs="Times New Roman"/>
                <w:color w:val="auto"/>
                <w:sz w:val="21"/>
                <w:szCs w:val="21"/>
              </w:rPr>
              <w:t>下风向</w:t>
            </w:r>
            <w:r>
              <w:rPr>
                <w:rFonts w:cs="Times New Roman"/>
                <w:color w:val="auto"/>
                <w:kern w:val="0"/>
                <w:sz w:val="21"/>
                <w:szCs w:val="21"/>
              </w:rPr>
              <w:t>O</w:t>
            </w:r>
            <w:r>
              <w:rPr>
                <w:rFonts w:cs="Times New Roman"/>
                <w:color w:val="auto"/>
                <w:sz w:val="21"/>
                <w:szCs w:val="21"/>
              </w:rPr>
              <w:t>2</w:t>
            </w:r>
          </w:p>
        </w:tc>
        <w:tc>
          <w:tcPr>
            <w:tcW w:w="1097"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0.025</w:t>
            </w:r>
          </w:p>
        </w:tc>
        <w:tc>
          <w:tcPr>
            <w:tcW w:w="1097"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0.027</w:t>
            </w:r>
          </w:p>
        </w:tc>
        <w:tc>
          <w:tcPr>
            <w:tcW w:w="109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0.039</w:t>
            </w:r>
          </w:p>
        </w:tc>
        <w:tc>
          <w:tcPr>
            <w:tcW w:w="122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jc w:val="center"/>
        </w:trPr>
        <w:tc>
          <w:tcPr>
            <w:tcW w:w="127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88"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42"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r>
              <w:rPr>
                <w:rFonts w:ascii="宋体" w:hAnsi="宋体" w:cs="Times New Roman"/>
                <w:color w:val="auto"/>
                <w:sz w:val="21"/>
                <w:szCs w:val="21"/>
              </w:rPr>
              <w:t>下风向</w:t>
            </w:r>
            <w:r>
              <w:rPr>
                <w:rFonts w:cs="Times New Roman"/>
                <w:color w:val="auto"/>
                <w:kern w:val="0"/>
                <w:sz w:val="21"/>
                <w:szCs w:val="21"/>
              </w:rPr>
              <w:t>O</w:t>
            </w:r>
            <w:r>
              <w:rPr>
                <w:rFonts w:cs="Times New Roman"/>
                <w:color w:val="auto"/>
                <w:sz w:val="21"/>
                <w:szCs w:val="21"/>
              </w:rPr>
              <w:t>3</w:t>
            </w:r>
          </w:p>
        </w:tc>
        <w:tc>
          <w:tcPr>
            <w:tcW w:w="1097"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0.035</w:t>
            </w:r>
          </w:p>
        </w:tc>
        <w:tc>
          <w:tcPr>
            <w:tcW w:w="1097"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0.035</w:t>
            </w:r>
          </w:p>
        </w:tc>
        <w:tc>
          <w:tcPr>
            <w:tcW w:w="109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0.050</w:t>
            </w:r>
          </w:p>
        </w:tc>
        <w:tc>
          <w:tcPr>
            <w:tcW w:w="122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jc w:val="center"/>
        </w:trPr>
        <w:tc>
          <w:tcPr>
            <w:tcW w:w="127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88"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42"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r>
              <w:rPr>
                <w:rFonts w:ascii="宋体" w:hAnsi="宋体" w:cs="Times New Roman"/>
                <w:color w:val="auto"/>
                <w:sz w:val="21"/>
                <w:szCs w:val="21"/>
              </w:rPr>
              <w:t>下风向</w:t>
            </w:r>
            <w:r>
              <w:rPr>
                <w:rFonts w:cs="Times New Roman"/>
                <w:color w:val="auto"/>
                <w:kern w:val="0"/>
                <w:sz w:val="21"/>
                <w:szCs w:val="21"/>
              </w:rPr>
              <w:t>O</w:t>
            </w:r>
            <w:r>
              <w:rPr>
                <w:rFonts w:cs="Times New Roman"/>
                <w:color w:val="auto"/>
                <w:sz w:val="21"/>
                <w:szCs w:val="21"/>
              </w:rPr>
              <w:t>4</w:t>
            </w:r>
          </w:p>
        </w:tc>
        <w:tc>
          <w:tcPr>
            <w:tcW w:w="1097"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0.042</w:t>
            </w:r>
          </w:p>
        </w:tc>
        <w:tc>
          <w:tcPr>
            <w:tcW w:w="1097"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0.043</w:t>
            </w:r>
          </w:p>
        </w:tc>
        <w:tc>
          <w:tcPr>
            <w:tcW w:w="109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0.061</w:t>
            </w:r>
          </w:p>
        </w:tc>
        <w:tc>
          <w:tcPr>
            <w:tcW w:w="122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jc w:val="center"/>
        </w:trPr>
        <w:tc>
          <w:tcPr>
            <w:tcW w:w="127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88" w:type="dxa"/>
            <w:vMerge w:val="restart"/>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r>
              <w:rPr>
                <w:rFonts w:ascii="宋体" w:hAnsi="宋体" w:cs="Times New Roman"/>
                <w:color w:val="auto"/>
                <w:kern w:val="0"/>
                <w:sz w:val="21"/>
                <w:szCs w:val="21"/>
              </w:rPr>
              <w:t>氮氧化物</w:t>
            </w:r>
          </w:p>
        </w:tc>
        <w:tc>
          <w:tcPr>
            <w:tcW w:w="1342"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r>
              <w:rPr>
                <w:rFonts w:ascii="宋体" w:hAnsi="宋体" w:cs="Times New Roman"/>
                <w:color w:val="auto"/>
                <w:sz w:val="21"/>
                <w:szCs w:val="21"/>
              </w:rPr>
              <w:t>上风向</w:t>
            </w:r>
            <w:r>
              <w:rPr>
                <w:rFonts w:cs="Times New Roman"/>
                <w:color w:val="auto"/>
                <w:kern w:val="0"/>
                <w:sz w:val="21"/>
                <w:szCs w:val="21"/>
              </w:rPr>
              <w:t>O</w:t>
            </w:r>
            <w:r>
              <w:rPr>
                <w:rFonts w:cs="Times New Roman"/>
                <w:color w:val="auto"/>
                <w:sz w:val="21"/>
                <w:szCs w:val="21"/>
              </w:rPr>
              <w:t>1</w:t>
            </w:r>
          </w:p>
        </w:tc>
        <w:tc>
          <w:tcPr>
            <w:tcW w:w="1097"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0.006</w:t>
            </w:r>
          </w:p>
        </w:tc>
        <w:tc>
          <w:tcPr>
            <w:tcW w:w="1097"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0.008</w:t>
            </w:r>
          </w:p>
        </w:tc>
        <w:tc>
          <w:tcPr>
            <w:tcW w:w="1099"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0.007</w:t>
            </w:r>
          </w:p>
        </w:tc>
        <w:tc>
          <w:tcPr>
            <w:tcW w:w="1220" w:type="dxa"/>
            <w:vMerge w:val="restart"/>
            <w:tcBorders>
              <w:top w:val="nil"/>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0.12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jc w:val="center"/>
        </w:trPr>
        <w:tc>
          <w:tcPr>
            <w:tcW w:w="127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88"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42"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r>
              <w:rPr>
                <w:rFonts w:ascii="宋体" w:hAnsi="宋体" w:cs="Times New Roman"/>
                <w:color w:val="auto"/>
                <w:sz w:val="21"/>
                <w:szCs w:val="21"/>
              </w:rPr>
              <w:t>下风向</w:t>
            </w:r>
            <w:r>
              <w:rPr>
                <w:rFonts w:cs="Times New Roman"/>
                <w:color w:val="auto"/>
                <w:kern w:val="0"/>
                <w:sz w:val="21"/>
                <w:szCs w:val="21"/>
              </w:rPr>
              <w:t>O</w:t>
            </w:r>
            <w:r>
              <w:rPr>
                <w:rFonts w:cs="Times New Roman"/>
                <w:color w:val="auto"/>
                <w:sz w:val="21"/>
                <w:szCs w:val="21"/>
              </w:rPr>
              <w:t>2</w:t>
            </w:r>
          </w:p>
        </w:tc>
        <w:tc>
          <w:tcPr>
            <w:tcW w:w="1097"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0.012</w:t>
            </w:r>
          </w:p>
        </w:tc>
        <w:tc>
          <w:tcPr>
            <w:tcW w:w="1097"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0.015</w:t>
            </w:r>
          </w:p>
        </w:tc>
        <w:tc>
          <w:tcPr>
            <w:tcW w:w="1099"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0.009</w:t>
            </w:r>
          </w:p>
        </w:tc>
        <w:tc>
          <w:tcPr>
            <w:tcW w:w="122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jc w:val="center"/>
        </w:trPr>
        <w:tc>
          <w:tcPr>
            <w:tcW w:w="127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88"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42"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r>
              <w:rPr>
                <w:rFonts w:ascii="宋体" w:hAnsi="宋体" w:cs="Times New Roman"/>
                <w:color w:val="auto"/>
                <w:sz w:val="21"/>
                <w:szCs w:val="21"/>
              </w:rPr>
              <w:t>下风向</w:t>
            </w:r>
            <w:r>
              <w:rPr>
                <w:rFonts w:cs="Times New Roman"/>
                <w:color w:val="auto"/>
                <w:kern w:val="0"/>
                <w:sz w:val="21"/>
                <w:szCs w:val="21"/>
              </w:rPr>
              <w:t>O</w:t>
            </w:r>
            <w:r>
              <w:rPr>
                <w:rFonts w:cs="Times New Roman"/>
                <w:color w:val="auto"/>
                <w:sz w:val="21"/>
                <w:szCs w:val="21"/>
              </w:rPr>
              <w:t>3</w:t>
            </w:r>
          </w:p>
        </w:tc>
        <w:tc>
          <w:tcPr>
            <w:tcW w:w="1097"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0.017</w:t>
            </w:r>
          </w:p>
        </w:tc>
        <w:tc>
          <w:tcPr>
            <w:tcW w:w="1097"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0.016</w:t>
            </w:r>
          </w:p>
        </w:tc>
        <w:tc>
          <w:tcPr>
            <w:tcW w:w="1099"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0.019</w:t>
            </w:r>
          </w:p>
        </w:tc>
        <w:tc>
          <w:tcPr>
            <w:tcW w:w="122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jc w:val="center"/>
        </w:trPr>
        <w:tc>
          <w:tcPr>
            <w:tcW w:w="127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88"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42"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r>
              <w:rPr>
                <w:rFonts w:ascii="宋体" w:hAnsi="宋体" w:cs="Times New Roman"/>
                <w:color w:val="auto"/>
                <w:sz w:val="21"/>
                <w:szCs w:val="21"/>
              </w:rPr>
              <w:t>下风向</w:t>
            </w:r>
            <w:r>
              <w:rPr>
                <w:rFonts w:cs="Times New Roman"/>
                <w:color w:val="auto"/>
                <w:kern w:val="0"/>
                <w:sz w:val="21"/>
                <w:szCs w:val="21"/>
              </w:rPr>
              <w:t>O</w:t>
            </w:r>
            <w:r>
              <w:rPr>
                <w:rFonts w:cs="Times New Roman"/>
                <w:color w:val="auto"/>
                <w:sz w:val="21"/>
                <w:szCs w:val="21"/>
              </w:rPr>
              <w:t>4</w:t>
            </w:r>
          </w:p>
        </w:tc>
        <w:tc>
          <w:tcPr>
            <w:tcW w:w="1097"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0.021</w:t>
            </w:r>
          </w:p>
        </w:tc>
        <w:tc>
          <w:tcPr>
            <w:tcW w:w="1097"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0.022</w:t>
            </w:r>
          </w:p>
        </w:tc>
        <w:tc>
          <w:tcPr>
            <w:tcW w:w="1099"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0.023</w:t>
            </w:r>
          </w:p>
        </w:tc>
        <w:tc>
          <w:tcPr>
            <w:tcW w:w="122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jc w:val="center"/>
        </w:trPr>
        <w:tc>
          <w:tcPr>
            <w:tcW w:w="127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88"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r>
              <w:rPr>
                <w:rFonts w:ascii="宋体" w:hAnsi="宋体" w:cs="Times New Roman"/>
                <w:color w:val="auto"/>
                <w:kern w:val="0"/>
                <w:sz w:val="21"/>
                <w:szCs w:val="21"/>
              </w:rPr>
              <w:t>非甲烷总烃</w:t>
            </w:r>
          </w:p>
        </w:tc>
        <w:tc>
          <w:tcPr>
            <w:tcW w:w="1342"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r>
              <w:rPr>
                <w:rFonts w:ascii="宋体" w:hAnsi="宋体" w:cs="Times New Roman"/>
                <w:color w:val="auto"/>
                <w:sz w:val="21"/>
                <w:szCs w:val="21"/>
              </w:rPr>
              <w:t>厂区内</w:t>
            </w:r>
            <w:r>
              <w:rPr>
                <w:rFonts w:cs="Times New Roman"/>
                <w:color w:val="auto"/>
                <w:kern w:val="0"/>
                <w:sz w:val="21"/>
                <w:szCs w:val="21"/>
              </w:rPr>
              <w:t>O</w:t>
            </w:r>
            <w:r>
              <w:rPr>
                <w:rFonts w:cs="Times New Roman"/>
                <w:color w:val="auto"/>
                <w:sz w:val="21"/>
                <w:szCs w:val="21"/>
              </w:rPr>
              <w:t>5</w:t>
            </w:r>
          </w:p>
        </w:tc>
        <w:tc>
          <w:tcPr>
            <w:tcW w:w="1097"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1.65</w:t>
            </w:r>
          </w:p>
        </w:tc>
        <w:tc>
          <w:tcPr>
            <w:tcW w:w="1097"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1.51</w:t>
            </w:r>
          </w:p>
        </w:tc>
        <w:tc>
          <w:tcPr>
            <w:tcW w:w="109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1.62</w:t>
            </w:r>
          </w:p>
        </w:tc>
        <w:tc>
          <w:tcPr>
            <w:tcW w:w="1220"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11" w:hRule="atLeast"/>
          <w:jc w:val="center"/>
        </w:trPr>
        <w:tc>
          <w:tcPr>
            <w:tcW w:w="8522" w:type="dxa"/>
            <w:gridSpan w:val="7"/>
            <w:tcBorders>
              <w:top w:val="single" w:color="auto" w:sz="4" w:space="0"/>
              <w:left w:val="single" w:color="auto" w:sz="4" w:space="0"/>
              <w:bottom w:val="single" w:color="auto" w:sz="4" w:space="0"/>
              <w:right w:val="single" w:color="auto" w:sz="4" w:space="0"/>
            </w:tcBorders>
            <w:vAlign w:val="center"/>
          </w:tcPr>
          <w:p>
            <w:pPr>
              <w:autoSpaceDE w:val="0"/>
              <w:spacing w:line="240" w:lineRule="auto"/>
              <w:ind w:left="1050" w:hanging="1050" w:hangingChars="500"/>
              <w:rPr>
                <w:rFonts w:cs="Times New Roman"/>
                <w:color w:val="auto"/>
                <w:sz w:val="21"/>
                <w:szCs w:val="21"/>
              </w:rPr>
            </w:pPr>
            <w:r>
              <w:rPr>
                <w:rFonts w:ascii="宋体" w:hAnsi="宋体" w:cs="Times New Roman"/>
                <w:color w:val="auto"/>
                <w:sz w:val="21"/>
                <w:szCs w:val="21"/>
              </w:rPr>
              <w:t>备注：</w:t>
            </w:r>
            <w:r>
              <w:rPr>
                <w:rFonts w:cs="Times New Roman"/>
                <w:color w:val="auto"/>
                <w:sz w:val="21"/>
                <w:szCs w:val="21"/>
              </w:rPr>
              <w:t xml:space="preserve"> 1</w:t>
            </w:r>
            <w:r>
              <w:rPr>
                <w:rFonts w:ascii="宋体" w:hAnsi="宋体" w:cs="Times New Roman"/>
                <w:color w:val="auto"/>
                <w:sz w:val="21"/>
                <w:szCs w:val="21"/>
              </w:rPr>
              <w:t>、</w:t>
            </w:r>
            <w:r>
              <w:rPr>
                <w:rFonts w:ascii="宋体" w:hAnsi="宋体" w:cs="Times New Roman"/>
                <w:color w:val="auto"/>
                <w:kern w:val="0"/>
                <w:sz w:val="21"/>
                <w:szCs w:val="21"/>
              </w:rPr>
              <w:t>非甲烷总烃执行</w:t>
            </w:r>
            <w:r>
              <w:rPr>
                <w:rFonts w:ascii="宋体" w:hAnsi="宋体" w:cs="Times New Roman"/>
                <w:color w:val="auto"/>
                <w:sz w:val="21"/>
                <w:szCs w:val="21"/>
              </w:rPr>
              <w:t>广东省《固定污染源挥发性有机物综合排放标准》</w:t>
            </w:r>
            <w:r>
              <w:rPr>
                <w:rFonts w:cs="Times New Roman"/>
                <w:color w:val="auto"/>
                <w:sz w:val="21"/>
                <w:szCs w:val="21"/>
              </w:rPr>
              <w:t>(DB44/2367-2022)</w:t>
            </w:r>
            <w:r>
              <w:rPr>
                <w:rFonts w:ascii="宋体" w:hAnsi="宋体" w:cs="Times New Roman"/>
                <w:color w:val="auto"/>
                <w:sz w:val="21"/>
                <w:szCs w:val="21"/>
              </w:rPr>
              <w:t>表</w:t>
            </w:r>
            <w:r>
              <w:rPr>
                <w:rFonts w:cs="Times New Roman"/>
                <w:color w:val="auto"/>
                <w:sz w:val="21"/>
                <w:szCs w:val="21"/>
              </w:rPr>
              <w:t>3</w:t>
            </w:r>
            <w:r>
              <w:rPr>
                <w:rFonts w:ascii="宋体" w:hAnsi="宋体" w:cs="Times New Roman"/>
                <w:color w:val="auto"/>
                <w:sz w:val="21"/>
                <w:szCs w:val="21"/>
              </w:rPr>
              <w:t>厂区内</w:t>
            </w:r>
            <w:r>
              <w:rPr>
                <w:rFonts w:cs="Times New Roman"/>
                <w:color w:val="auto"/>
                <w:sz w:val="21"/>
                <w:szCs w:val="21"/>
              </w:rPr>
              <w:t>VOCs</w:t>
            </w:r>
            <w:r>
              <w:rPr>
                <w:rFonts w:ascii="宋体" w:hAnsi="宋体" w:cs="Times New Roman"/>
                <w:color w:val="auto"/>
                <w:sz w:val="21"/>
                <w:szCs w:val="21"/>
              </w:rPr>
              <w:t>无组织排放限值；其他项目执行广东省《大气污染物排放限值》（</w:t>
            </w:r>
            <w:r>
              <w:rPr>
                <w:rFonts w:cs="Times New Roman"/>
                <w:color w:val="auto"/>
                <w:sz w:val="21"/>
                <w:szCs w:val="21"/>
              </w:rPr>
              <w:t>DB44/27-2001</w:t>
            </w:r>
            <w:r>
              <w:rPr>
                <w:rFonts w:ascii="宋体" w:hAnsi="宋体" w:cs="Times New Roman"/>
                <w:color w:val="auto"/>
                <w:sz w:val="21"/>
                <w:szCs w:val="21"/>
              </w:rPr>
              <w:t>）第二时段无组织排放监控浓度限值；</w:t>
            </w:r>
            <w:r>
              <w:rPr>
                <w:rFonts w:cs="Times New Roman"/>
                <w:color w:val="auto"/>
                <w:sz w:val="21"/>
                <w:szCs w:val="21"/>
              </w:rPr>
              <w:t xml:space="preserve"> </w:t>
            </w:r>
          </w:p>
          <w:p>
            <w:pPr>
              <w:autoSpaceDE w:val="0"/>
              <w:spacing w:line="240" w:lineRule="auto"/>
              <w:ind w:firstLine="764" w:firstLineChars="364"/>
              <w:rPr>
                <w:rFonts w:cs="Times New Roman"/>
                <w:color w:val="auto"/>
                <w:sz w:val="21"/>
                <w:szCs w:val="21"/>
              </w:rPr>
            </w:pPr>
            <w:r>
              <w:rPr>
                <w:rFonts w:cs="Times New Roman"/>
                <w:color w:val="auto"/>
                <w:sz w:val="21"/>
                <w:szCs w:val="21"/>
              </w:rPr>
              <w:t>2</w:t>
            </w:r>
            <w:r>
              <w:rPr>
                <w:rFonts w:ascii="宋体" w:hAnsi="宋体" w:cs="Times New Roman"/>
                <w:color w:val="auto"/>
                <w:sz w:val="21"/>
                <w:szCs w:val="21"/>
              </w:rPr>
              <w:t>、</w:t>
            </w:r>
            <w:r>
              <w:rPr>
                <w:rFonts w:cs="Times New Roman"/>
                <w:color w:val="auto"/>
                <w:sz w:val="21"/>
                <w:szCs w:val="21"/>
              </w:rPr>
              <w:t>ND</w:t>
            </w:r>
            <w:r>
              <w:rPr>
                <w:rFonts w:ascii="宋体" w:hAnsi="宋体" w:cs="Times New Roman"/>
                <w:color w:val="auto"/>
                <w:sz w:val="21"/>
                <w:szCs w:val="21"/>
              </w:rPr>
              <w:t>为未检出；</w:t>
            </w:r>
          </w:p>
          <w:p>
            <w:pPr>
              <w:autoSpaceDE w:val="0"/>
              <w:spacing w:line="240" w:lineRule="auto"/>
              <w:ind w:firstLine="764" w:firstLineChars="364"/>
              <w:rPr>
                <w:rFonts w:cs="Times New Roman"/>
                <w:color w:val="auto"/>
                <w:sz w:val="21"/>
                <w:szCs w:val="21"/>
              </w:rPr>
            </w:pPr>
            <w:r>
              <w:rPr>
                <w:rFonts w:cs="Times New Roman"/>
                <w:color w:val="auto"/>
                <w:sz w:val="21"/>
                <w:szCs w:val="21"/>
              </w:rPr>
              <w:t>3</w:t>
            </w:r>
            <w:r>
              <w:rPr>
                <w:rFonts w:ascii="宋体" w:hAnsi="宋体" w:cs="Times New Roman"/>
                <w:color w:val="auto"/>
                <w:sz w:val="21"/>
                <w:szCs w:val="21"/>
              </w:rPr>
              <w:t>、本报告结果只对当时采样监测结果负责；</w:t>
            </w:r>
          </w:p>
          <w:p>
            <w:pPr>
              <w:autoSpaceDE w:val="0"/>
              <w:spacing w:line="240" w:lineRule="auto"/>
              <w:ind w:firstLine="764" w:firstLineChars="364"/>
              <w:rPr>
                <w:rFonts w:cs="Times New Roman"/>
                <w:color w:val="auto"/>
                <w:sz w:val="21"/>
                <w:szCs w:val="21"/>
              </w:rPr>
            </w:pPr>
            <w:r>
              <w:rPr>
                <w:rFonts w:cs="Times New Roman"/>
                <w:color w:val="auto"/>
                <w:sz w:val="21"/>
                <w:szCs w:val="21"/>
              </w:rPr>
              <w:t>4</w:t>
            </w:r>
            <w:r>
              <w:rPr>
                <w:rFonts w:ascii="宋体" w:hAnsi="宋体" w:cs="Times New Roman"/>
                <w:color w:val="auto"/>
                <w:sz w:val="21"/>
                <w:szCs w:val="21"/>
              </w:rPr>
              <w:t>、</w:t>
            </w:r>
            <w:r>
              <w:rPr>
                <w:rFonts w:cs="Times New Roman"/>
                <w:color w:val="auto"/>
                <w:sz w:val="21"/>
                <w:szCs w:val="21"/>
              </w:rPr>
              <w:t>“*”</w:t>
            </w:r>
            <w:r>
              <w:rPr>
                <w:rFonts w:ascii="宋体" w:hAnsi="宋体" w:cs="Times New Roman"/>
                <w:color w:val="auto"/>
                <w:sz w:val="21"/>
                <w:szCs w:val="21"/>
              </w:rPr>
              <w:t>表示检测结果由美澳检测</w:t>
            </w:r>
            <w:r>
              <w:rPr>
                <w:rFonts w:cs="Times New Roman"/>
                <w:color w:val="auto"/>
                <w:sz w:val="21"/>
                <w:szCs w:val="21"/>
              </w:rPr>
              <w:t>(</w:t>
            </w:r>
            <w:r>
              <w:rPr>
                <w:rFonts w:ascii="宋体" w:hAnsi="宋体" w:cs="Times New Roman"/>
                <w:color w:val="auto"/>
                <w:sz w:val="21"/>
                <w:szCs w:val="21"/>
              </w:rPr>
              <w:t>惠州</w:t>
            </w:r>
            <w:r>
              <w:rPr>
                <w:rFonts w:cs="Times New Roman"/>
                <w:color w:val="auto"/>
                <w:sz w:val="21"/>
                <w:szCs w:val="21"/>
              </w:rPr>
              <w:t>)</w:t>
            </w:r>
            <w:r>
              <w:rPr>
                <w:rFonts w:ascii="宋体" w:hAnsi="宋体" w:cs="Times New Roman"/>
                <w:color w:val="auto"/>
                <w:sz w:val="21"/>
                <w:szCs w:val="21"/>
              </w:rPr>
              <w:t>有限公司提供，资质证书编号为</w:t>
            </w:r>
            <w:r>
              <w:rPr>
                <w:rFonts w:cs="Times New Roman"/>
                <w:color w:val="auto"/>
                <w:sz w:val="21"/>
                <w:szCs w:val="21"/>
              </w:rPr>
              <w:t>:202019124862</w:t>
            </w:r>
            <w:r>
              <w:rPr>
                <w:rFonts w:ascii="宋体" w:hAnsi="宋体" w:cs="Times New Roman"/>
                <w:color w:val="auto"/>
                <w:sz w:val="21"/>
                <w:szCs w:val="21"/>
              </w:rPr>
              <w:t>。</w:t>
            </w:r>
          </w:p>
        </w:tc>
      </w:tr>
    </w:tbl>
    <w:p>
      <w:pPr>
        <w:pStyle w:val="37"/>
        <w:rPr>
          <w:color w:val="auto"/>
        </w:rPr>
      </w:pPr>
      <w:r>
        <w:rPr>
          <w:rFonts w:hint="eastAsia"/>
          <w:color w:val="auto"/>
        </w:rPr>
        <w:t>表 9.1</w:t>
      </w:r>
      <w:r>
        <w:rPr>
          <w:color w:val="auto"/>
        </w:rPr>
        <w:noBreakHyphen/>
      </w:r>
      <w:r>
        <w:rPr>
          <w:color w:val="auto"/>
        </w:rPr>
        <w:fldChar w:fldCharType="begin"/>
      </w:r>
      <w:r>
        <w:rPr>
          <w:color w:val="auto"/>
        </w:rPr>
        <w:instrText xml:space="preserve"> </w:instrText>
      </w:r>
      <w:r>
        <w:rPr>
          <w:rFonts w:hint="eastAsia"/>
          <w:color w:val="auto"/>
        </w:rPr>
        <w:instrText xml:space="preserve">SEQ 表 \* ARABIC \s 2</w:instrText>
      </w:r>
      <w:r>
        <w:rPr>
          <w:color w:val="auto"/>
        </w:rPr>
        <w:instrText xml:space="preserve"> </w:instrText>
      </w:r>
      <w:r>
        <w:rPr>
          <w:color w:val="auto"/>
        </w:rPr>
        <w:fldChar w:fldCharType="separate"/>
      </w:r>
      <w:r>
        <w:rPr>
          <w:color w:val="auto"/>
        </w:rPr>
        <w:t>2</w:t>
      </w:r>
      <w:r>
        <w:rPr>
          <w:color w:val="auto"/>
        </w:rPr>
        <w:fldChar w:fldCharType="end"/>
      </w:r>
      <w:r>
        <w:rPr>
          <w:color w:val="auto"/>
        </w:rPr>
        <w:t xml:space="preserve"> </w:t>
      </w:r>
      <w:r>
        <w:rPr>
          <w:rFonts w:hint="eastAsia"/>
          <w:color w:val="auto"/>
        </w:rPr>
        <w:t>无组织废气检测结果（2）</w:t>
      </w:r>
    </w:p>
    <w:tbl>
      <w:tblPr>
        <w:tblStyle w:val="24"/>
        <w:tblW w:w="852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83"/>
        <w:gridCol w:w="1392"/>
        <w:gridCol w:w="1346"/>
        <w:gridCol w:w="1092"/>
        <w:gridCol w:w="1093"/>
        <w:gridCol w:w="1096"/>
        <w:gridCol w:w="12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4" w:hRule="atLeast"/>
          <w:jc w:val="center"/>
        </w:trPr>
        <w:tc>
          <w:tcPr>
            <w:tcW w:w="1283" w:type="dxa"/>
            <w:vMerge w:val="restart"/>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rPr>
                <w:rFonts w:cs="Times New Roman"/>
                <w:b/>
                <w:bCs/>
                <w:color w:val="auto"/>
                <w:sz w:val="21"/>
                <w:szCs w:val="21"/>
              </w:rPr>
            </w:pPr>
            <w:r>
              <w:rPr>
                <w:rFonts w:ascii="宋体" w:hAnsi="宋体" w:cs="Times New Roman"/>
                <w:b/>
                <w:bCs/>
                <w:color w:val="auto"/>
                <w:sz w:val="21"/>
                <w:szCs w:val="21"/>
              </w:rPr>
              <w:t>检测日期</w:t>
            </w:r>
          </w:p>
        </w:tc>
        <w:tc>
          <w:tcPr>
            <w:tcW w:w="1392" w:type="dxa"/>
            <w:vMerge w:val="restart"/>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b/>
                <w:bCs/>
                <w:color w:val="auto"/>
                <w:sz w:val="21"/>
                <w:szCs w:val="21"/>
              </w:rPr>
            </w:pPr>
            <w:r>
              <w:rPr>
                <w:rFonts w:ascii="宋体" w:hAnsi="宋体" w:cs="Times New Roman"/>
                <w:b/>
                <w:bCs/>
                <w:color w:val="auto"/>
                <w:sz w:val="21"/>
                <w:szCs w:val="21"/>
              </w:rPr>
              <w:t>检测项目</w:t>
            </w:r>
          </w:p>
        </w:tc>
        <w:tc>
          <w:tcPr>
            <w:tcW w:w="1346" w:type="dxa"/>
            <w:vMerge w:val="restart"/>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b/>
                <w:bCs/>
                <w:color w:val="auto"/>
                <w:sz w:val="21"/>
                <w:szCs w:val="21"/>
              </w:rPr>
            </w:pPr>
            <w:r>
              <w:rPr>
                <w:rFonts w:ascii="宋体" w:hAnsi="宋体" w:cs="Times New Roman"/>
                <w:b/>
                <w:bCs/>
                <w:color w:val="auto"/>
                <w:sz w:val="21"/>
                <w:szCs w:val="21"/>
              </w:rPr>
              <w:t>检测点位</w:t>
            </w:r>
          </w:p>
        </w:tc>
        <w:tc>
          <w:tcPr>
            <w:tcW w:w="3281" w:type="dxa"/>
            <w:gridSpan w:val="3"/>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b/>
                <w:bCs/>
                <w:color w:val="auto"/>
                <w:kern w:val="0"/>
                <w:sz w:val="21"/>
                <w:szCs w:val="21"/>
              </w:rPr>
            </w:pPr>
            <w:r>
              <w:rPr>
                <w:rFonts w:cs="Times New Roman"/>
                <w:b/>
                <w:bCs/>
                <w:color w:val="auto"/>
                <w:kern w:val="0"/>
                <w:sz w:val="21"/>
                <w:szCs w:val="21"/>
              </w:rPr>
              <w:t xml:space="preserve">  </w:t>
            </w:r>
            <w:r>
              <w:rPr>
                <w:rFonts w:ascii="宋体" w:hAnsi="宋体" w:cs="Times New Roman"/>
                <w:b/>
                <w:bCs/>
                <w:color w:val="auto"/>
                <w:kern w:val="0"/>
                <w:sz w:val="21"/>
                <w:szCs w:val="21"/>
              </w:rPr>
              <w:t>检测结果（</w:t>
            </w:r>
            <w:r>
              <w:rPr>
                <w:rFonts w:cs="Times New Roman"/>
                <w:b/>
                <w:bCs/>
                <w:color w:val="auto"/>
                <w:kern w:val="0"/>
                <w:sz w:val="21"/>
                <w:szCs w:val="21"/>
              </w:rPr>
              <w:t>mg/m</w:t>
            </w:r>
            <w:r>
              <w:rPr>
                <w:rFonts w:cs="Times New Roman"/>
                <w:b/>
                <w:bCs/>
                <w:color w:val="auto"/>
                <w:kern w:val="0"/>
                <w:sz w:val="21"/>
                <w:szCs w:val="21"/>
                <w:vertAlign w:val="superscript"/>
              </w:rPr>
              <w:t>3</w:t>
            </w:r>
            <w:r>
              <w:rPr>
                <w:rFonts w:ascii="宋体" w:hAnsi="宋体" w:cs="Times New Roman"/>
                <w:b/>
                <w:bCs/>
                <w:color w:val="auto"/>
                <w:kern w:val="0"/>
                <w:sz w:val="21"/>
                <w:szCs w:val="21"/>
              </w:rPr>
              <w:t>）</w:t>
            </w:r>
          </w:p>
        </w:tc>
        <w:tc>
          <w:tcPr>
            <w:tcW w:w="1220" w:type="dxa"/>
            <w:vMerge w:val="restart"/>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rPr>
                <w:rFonts w:cs="Times New Roman"/>
                <w:b/>
                <w:bCs/>
                <w:color w:val="auto"/>
                <w:sz w:val="21"/>
                <w:szCs w:val="21"/>
              </w:rPr>
            </w:pPr>
            <w:r>
              <w:rPr>
                <w:rFonts w:ascii="宋体" w:hAnsi="宋体" w:cs="Times New Roman"/>
                <w:b/>
                <w:bCs/>
                <w:color w:val="auto"/>
                <w:sz w:val="21"/>
                <w:szCs w:val="21"/>
              </w:rPr>
              <w:t>浓度限值（</w:t>
            </w:r>
            <w:r>
              <w:rPr>
                <w:rFonts w:cs="Times New Roman"/>
                <w:b/>
                <w:bCs/>
                <w:color w:val="auto"/>
                <w:sz w:val="21"/>
                <w:szCs w:val="21"/>
              </w:rPr>
              <w:t>mg/m</w:t>
            </w:r>
            <w:r>
              <w:rPr>
                <w:rFonts w:cs="Times New Roman"/>
                <w:b/>
                <w:bCs/>
                <w:color w:val="auto"/>
                <w:sz w:val="21"/>
                <w:szCs w:val="21"/>
                <w:vertAlign w:val="superscript"/>
              </w:rPr>
              <w:t>3</w:t>
            </w:r>
            <w:r>
              <w:rPr>
                <w:rFonts w:ascii="宋体" w:hAnsi="宋体" w:cs="Times New Roman"/>
                <w:b/>
                <w:bCs/>
                <w:color w:val="auto"/>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33" w:hRule="atLeast"/>
          <w:jc w:val="center"/>
        </w:trPr>
        <w:tc>
          <w:tcPr>
            <w:tcW w:w="1283"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b/>
                <w:bCs/>
                <w:color w:val="auto"/>
                <w:sz w:val="21"/>
                <w:szCs w:val="21"/>
              </w:rPr>
            </w:pPr>
          </w:p>
        </w:tc>
        <w:tc>
          <w:tcPr>
            <w:tcW w:w="1392"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b/>
                <w:bCs/>
                <w:color w:val="auto"/>
                <w:sz w:val="21"/>
                <w:szCs w:val="21"/>
              </w:rPr>
            </w:pPr>
          </w:p>
        </w:tc>
        <w:tc>
          <w:tcPr>
            <w:tcW w:w="1346"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b/>
                <w:bCs/>
                <w:color w:val="auto"/>
                <w:sz w:val="21"/>
                <w:szCs w:val="21"/>
              </w:rPr>
            </w:pPr>
          </w:p>
        </w:tc>
        <w:tc>
          <w:tcPr>
            <w:tcW w:w="1092"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b/>
                <w:bCs/>
                <w:color w:val="auto"/>
                <w:kern w:val="0"/>
                <w:sz w:val="21"/>
                <w:szCs w:val="21"/>
              </w:rPr>
            </w:pPr>
            <w:r>
              <w:rPr>
                <w:rFonts w:ascii="宋体" w:hAnsi="宋体" w:cs="Times New Roman"/>
                <w:b/>
                <w:bCs/>
                <w:color w:val="auto"/>
                <w:kern w:val="0"/>
                <w:sz w:val="21"/>
                <w:szCs w:val="21"/>
              </w:rPr>
              <w:t>第</w:t>
            </w:r>
            <w:r>
              <w:rPr>
                <w:rFonts w:cs="Times New Roman"/>
                <w:b/>
                <w:bCs/>
                <w:color w:val="auto"/>
                <w:kern w:val="0"/>
                <w:sz w:val="21"/>
                <w:szCs w:val="21"/>
              </w:rPr>
              <w:t>1</w:t>
            </w:r>
            <w:r>
              <w:rPr>
                <w:rFonts w:ascii="宋体" w:hAnsi="宋体" w:cs="Times New Roman"/>
                <w:b/>
                <w:bCs/>
                <w:color w:val="auto"/>
                <w:kern w:val="0"/>
                <w:sz w:val="21"/>
                <w:szCs w:val="21"/>
              </w:rPr>
              <w:t>次</w:t>
            </w:r>
          </w:p>
        </w:tc>
        <w:tc>
          <w:tcPr>
            <w:tcW w:w="1093"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b/>
                <w:bCs/>
                <w:color w:val="auto"/>
                <w:kern w:val="0"/>
                <w:sz w:val="21"/>
                <w:szCs w:val="21"/>
              </w:rPr>
            </w:pPr>
            <w:r>
              <w:rPr>
                <w:rFonts w:ascii="宋体" w:hAnsi="宋体" w:cs="Times New Roman"/>
                <w:b/>
                <w:bCs/>
                <w:color w:val="auto"/>
                <w:kern w:val="0"/>
                <w:sz w:val="21"/>
                <w:szCs w:val="21"/>
              </w:rPr>
              <w:t>第</w:t>
            </w:r>
            <w:r>
              <w:rPr>
                <w:rFonts w:cs="Times New Roman"/>
                <w:b/>
                <w:bCs/>
                <w:color w:val="auto"/>
                <w:kern w:val="0"/>
                <w:sz w:val="21"/>
                <w:szCs w:val="21"/>
              </w:rPr>
              <w:t>2</w:t>
            </w:r>
            <w:r>
              <w:rPr>
                <w:rFonts w:ascii="宋体" w:hAnsi="宋体" w:cs="Times New Roman"/>
                <w:b/>
                <w:bCs/>
                <w:color w:val="auto"/>
                <w:kern w:val="0"/>
                <w:sz w:val="21"/>
                <w:szCs w:val="21"/>
              </w:rPr>
              <w:t>次</w:t>
            </w:r>
          </w:p>
        </w:tc>
        <w:tc>
          <w:tcPr>
            <w:tcW w:w="1096"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b/>
                <w:bCs/>
                <w:color w:val="auto"/>
                <w:kern w:val="0"/>
                <w:sz w:val="21"/>
                <w:szCs w:val="21"/>
              </w:rPr>
            </w:pPr>
            <w:r>
              <w:rPr>
                <w:rFonts w:ascii="宋体" w:hAnsi="宋体" w:cs="Times New Roman"/>
                <w:b/>
                <w:bCs/>
                <w:color w:val="auto"/>
                <w:kern w:val="0"/>
                <w:sz w:val="21"/>
                <w:szCs w:val="21"/>
              </w:rPr>
              <w:t>第</w:t>
            </w:r>
            <w:r>
              <w:rPr>
                <w:rFonts w:cs="Times New Roman"/>
                <w:b/>
                <w:bCs/>
                <w:color w:val="auto"/>
                <w:kern w:val="0"/>
                <w:sz w:val="21"/>
                <w:szCs w:val="21"/>
              </w:rPr>
              <w:t>3</w:t>
            </w:r>
            <w:r>
              <w:rPr>
                <w:rFonts w:ascii="宋体" w:hAnsi="宋体" w:cs="Times New Roman"/>
                <w:b/>
                <w:bCs/>
                <w:color w:val="auto"/>
                <w:kern w:val="0"/>
                <w:sz w:val="21"/>
                <w:szCs w:val="21"/>
              </w:rPr>
              <w:t>次</w:t>
            </w:r>
          </w:p>
        </w:tc>
        <w:tc>
          <w:tcPr>
            <w:tcW w:w="1220"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b/>
                <w:bCs/>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jc w:val="center"/>
        </w:trPr>
        <w:tc>
          <w:tcPr>
            <w:tcW w:w="1283" w:type="dxa"/>
            <w:vMerge w:val="restart"/>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r>
              <w:rPr>
                <w:rFonts w:cs="Times New Roman"/>
                <w:color w:val="auto"/>
                <w:sz w:val="21"/>
                <w:szCs w:val="21"/>
              </w:rPr>
              <w:t>2025.12.11</w:t>
            </w:r>
          </w:p>
        </w:tc>
        <w:tc>
          <w:tcPr>
            <w:tcW w:w="1392" w:type="dxa"/>
            <w:vMerge w:val="restart"/>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kern w:val="0"/>
                <w:sz w:val="21"/>
                <w:szCs w:val="21"/>
              </w:rPr>
            </w:pPr>
            <w:r>
              <w:rPr>
                <w:rFonts w:ascii="宋体" w:hAnsi="宋体" w:cs="Times New Roman"/>
                <w:color w:val="auto"/>
                <w:kern w:val="0"/>
                <w:sz w:val="21"/>
                <w:szCs w:val="21"/>
              </w:rPr>
              <w:t>颗粒物</w:t>
            </w:r>
          </w:p>
        </w:tc>
        <w:tc>
          <w:tcPr>
            <w:tcW w:w="1346"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r>
              <w:rPr>
                <w:rFonts w:ascii="宋体" w:hAnsi="宋体" w:cs="Times New Roman"/>
                <w:color w:val="auto"/>
                <w:sz w:val="21"/>
                <w:szCs w:val="21"/>
              </w:rPr>
              <w:t>上风向</w:t>
            </w:r>
            <w:r>
              <w:rPr>
                <w:rFonts w:cs="Times New Roman"/>
                <w:color w:val="auto"/>
                <w:kern w:val="0"/>
                <w:sz w:val="21"/>
                <w:szCs w:val="21"/>
              </w:rPr>
              <w:t>O</w:t>
            </w:r>
            <w:r>
              <w:rPr>
                <w:rFonts w:cs="Times New Roman"/>
                <w:color w:val="auto"/>
                <w:sz w:val="21"/>
                <w:szCs w:val="21"/>
              </w:rPr>
              <w:t>1</w:t>
            </w:r>
          </w:p>
        </w:tc>
        <w:tc>
          <w:tcPr>
            <w:tcW w:w="1092"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0.106 </w:t>
            </w:r>
          </w:p>
        </w:tc>
        <w:tc>
          <w:tcPr>
            <w:tcW w:w="1093"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0.102 </w:t>
            </w:r>
          </w:p>
        </w:tc>
        <w:tc>
          <w:tcPr>
            <w:tcW w:w="1096"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0.114 </w:t>
            </w:r>
          </w:p>
        </w:tc>
        <w:tc>
          <w:tcPr>
            <w:tcW w:w="1220" w:type="dxa"/>
            <w:vMerge w:val="restart"/>
            <w:tcBorders>
              <w:top w:val="nil"/>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jc w:val="center"/>
        </w:trPr>
        <w:tc>
          <w:tcPr>
            <w:tcW w:w="1283"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92"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kern w:val="0"/>
                <w:sz w:val="21"/>
                <w:szCs w:val="21"/>
              </w:rPr>
            </w:pPr>
          </w:p>
        </w:tc>
        <w:tc>
          <w:tcPr>
            <w:tcW w:w="1346"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r>
              <w:rPr>
                <w:rFonts w:ascii="宋体" w:hAnsi="宋体" w:cs="Times New Roman"/>
                <w:color w:val="auto"/>
                <w:sz w:val="21"/>
                <w:szCs w:val="21"/>
              </w:rPr>
              <w:t>下风向</w:t>
            </w:r>
            <w:r>
              <w:rPr>
                <w:rFonts w:cs="Times New Roman"/>
                <w:color w:val="auto"/>
                <w:kern w:val="0"/>
                <w:sz w:val="21"/>
                <w:szCs w:val="21"/>
              </w:rPr>
              <w:t>O</w:t>
            </w:r>
            <w:r>
              <w:rPr>
                <w:rFonts w:cs="Times New Roman"/>
                <w:color w:val="auto"/>
                <w:sz w:val="21"/>
                <w:szCs w:val="21"/>
              </w:rPr>
              <w:t>2</w:t>
            </w:r>
          </w:p>
        </w:tc>
        <w:tc>
          <w:tcPr>
            <w:tcW w:w="1092"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0.212 </w:t>
            </w:r>
          </w:p>
        </w:tc>
        <w:tc>
          <w:tcPr>
            <w:tcW w:w="1093"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0.217 </w:t>
            </w:r>
          </w:p>
        </w:tc>
        <w:tc>
          <w:tcPr>
            <w:tcW w:w="1096"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0.244 </w:t>
            </w:r>
          </w:p>
        </w:tc>
        <w:tc>
          <w:tcPr>
            <w:tcW w:w="122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jc w:val="center"/>
        </w:trPr>
        <w:tc>
          <w:tcPr>
            <w:tcW w:w="1283"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92"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kern w:val="0"/>
                <w:sz w:val="21"/>
                <w:szCs w:val="21"/>
              </w:rPr>
            </w:pPr>
          </w:p>
        </w:tc>
        <w:tc>
          <w:tcPr>
            <w:tcW w:w="1346"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r>
              <w:rPr>
                <w:rFonts w:ascii="宋体" w:hAnsi="宋体" w:cs="Times New Roman"/>
                <w:color w:val="auto"/>
                <w:sz w:val="21"/>
                <w:szCs w:val="21"/>
              </w:rPr>
              <w:t>下风向</w:t>
            </w:r>
            <w:r>
              <w:rPr>
                <w:rFonts w:cs="Times New Roman"/>
                <w:color w:val="auto"/>
                <w:kern w:val="0"/>
                <w:sz w:val="21"/>
                <w:szCs w:val="21"/>
              </w:rPr>
              <w:t>O</w:t>
            </w:r>
            <w:r>
              <w:rPr>
                <w:rFonts w:cs="Times New Roman"/>
                <w:color w:val="auto"/>
                <w:sz w:val="21"/>
                <w:szCs w:val="21"/>
              </w:rPr>
              <w:t>3</w:t>
            </w:r>
          </w:p>
        </w:tc>
        <w:tc>
          <w:tcPr>
            <w:tcW w:w="1092"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0.239 </w:t>
            </w:r>
          </w:p>
        </w:tc>
        <w:tc>
          <w:tcPr>
            <w:tcW w:w="1093"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0.242 </w:t>
            </w:r>
          </w:p>
        </w:tc>
        <w:tc>
          <w:tcPr>
            <w:tcW w:w="1096"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0.215 </w:t>
            </w:r>
          </w:p>
        </w:tc>
        <w:tc>
          <w:tcPr>
            <w:tcW w:w="122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jc w:val="center"/>
        </w:trPr>
        <w:tc>
          <w:tcPr>
            <w:tcW w:w="1283"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92"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kern w:val="0"/>
                <w:sz w:val="21"/>
                <w:szCs w:val="21"/>
              </w:rPr>
            </w:pPr>
          </w:p>
        </w:tc>
        <w:tc>
          <w:tcPr>
            <w:tcW w:w="1346"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r>
              <w:rPr>
                <w:rFonts w:ascii="宋体" w:hAnsi="宋体" w:cs="Times New Roman"/>
                <w:color w:val="auto"/>
                <w:sz w:val="21"/>
                <w:szCs w:val="21"/>
              </w:rPr>
              <w:t>下风向</w:t>
            </w:r>
            <w:r>
              <w:rPr>
                <w:rFonts w:cs="Times New Roman"/>
                <w:color w:val="auto"/>
                <w:kern w:val="0"/>
                <w:sz w:val="21"/>
                <w:szCs w:val="21"/>
              </w:rPr>
              <w:t>O</w:t>
            </w:r>
            <w:r>
              <w:rPr>
                <w:rFonts w:cs="Times New Roman"/>
                <w:color w:val="auto"/>
                <w:sz w:val="21"/>
                <w:szCs w:val="21"/>
              </w:rPr>
              <w:t>4</w:t>
            </w:r>
          </w:p>
        </w:tc>
        <w:tc>
          <w:tcPr>
            <w:tcW w:w="1092"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0.265 </w:t>
            </w:r>
          </w:p>
        </w:tc>
        <w:tc>
          <w:tcPr>
            <w:tcW w:w="1093"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0.290 </w:t>
            </w:r>
          </w:p>
        </w:tc>
        <w:tc>
          <w:tcPr>
            <w:tcW w:w="1096"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0.257 </w:t>
            </w:r>
          </w:p>
        </w:tc>
        <w:tc>
          <w:tcPr>
            <w:tcW w:w="122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jc w:val="center"/>
        </w:trPr>
        <w:tc>
          <w:tcPr>
            <w:tcW w:w="1283"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92" w:type="dxa"/>
            <w:vMerge w:val="restart"/>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kern w:val="0"/>
                <w:sz w:val="21"/>
                <w:szCs w:val="21"/>
              </w:rPr>
            </w:pPr>
            <w:r>
              <w:rPr>
                <w:rFonts w:cs="Times New Roman"/>
                <w:color w:val="auto"/>
                <w:kern w:val="0"/>
                <w:sz w:val="21"/>
                <w:szCs w:val="21"/>
              </w:rPr>
              <w:t>*</w:t>
            </w:r>
            <w:r>
              <w:rPr>
                <w:rFonts w:ascii="宋体" w:hAnsi="宋体" w:cs="Times New Roman"/>
                <w:color w:val="auto"/>
                <w:kern w:val="0"/>
                <w:sz w:val="21"/>
                <w:szCs w:val="21"/>
              </w:rPr>
              <w:t>锰及其化</w:t>
            </w:r>
          </w:p>
          <w:p>
            <w:pPr>
              <w:widowControl/>
              <w:spacing w:line="240" w:lineRule="auto"/>
              <w:ind w:firstLine="0" w:firstLineChars="0"/>
              <w:jc w:val="center"/>
              <w:rPr>
                <w:rFonts w:cs="Times New Roman"/>
                <w:color w:val="auto"/>
                <w:sz w:val="21"/>
                <w:szCs w:val="21"/>
              </w:rPr>
            </w:pPr>
            <w:r>
              <w:rPr>
                <w:rFonts w:ascii="宋体" w:hAnsi="宋体" w:cs="Times New Roman"/>
                <w:color w:val="auto"/>
                <w:kern w:val="0"/>
                <w:sz w:val="21"/>
                <w:szCs w:val="21"/>
              </w:rPr>
              <w:t>合物</w:t>
            </w:r>
          </w:p>
        </w:tc>
        <w:tc>
          <w:tcPr>
            <w:tcW w:w="1346"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r>
              <w:rPr>
                <w:rFonts w:ascii="宋体" w:hAnsi="宋体" w:cs="Times New Roman"/>
                <w:color w:val="auto"/>
                <w:sz w:val="21"/>
                <w:szCs w:val="21"/>
              </w:rPr>
              <w:t>上风向</w:t>
            </w:r>
            <w:r>
              <w:rPr>
                <w:rFonts w:cs="Times New Roman"/>
                <w:color w:val="auto"/>
                <w:kern w:val="0"/>
                <w:sz w:val="21"/>
                <w:szCs w:val="21"/>
              </w:rPr>
              <w:t>O</w:t>
            </w:r>
            <w:r>
              <w:rPr>
                <w:rFonts w:cs="Times New Roman"/>
                <w:color w:val="auto"/>
                <w:sz w:val="21"/>
                <w:szCs w:val="21"/>
              </w:rPr>
              <w:t>1</w:t>
            </w:r>
          </w:p>
        </w:tc>
        <w:tc>
          <w:tcPr>
            <w:tcW w:w="1092"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ND</w:t>
            </w:r>
          </w:p>
        </w:tc>
        <w:tc>
          <w:tcPr>
            <w:tcW w:w="1093"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ND</w:t>
            </w:r>
          </w:p>
        </w:tc>
        <w:tc>
          <w:tcPr>
            <w:tcW w:w="1096"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ND</w:t>
            </w:r>
          </w:p>
        </w:tc>
        <w:tc>
          <w:tcPr>
            <w:tcW w:w="1220" w:type="dxa"/>
            <w:vMerge w:val="restart"/>
            <w:tcBorders>
              <w:top w:val="nil"/>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0.040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jc w:val="center"/>
        </w:trPr>
        <w:tc>
          <w:tcPr>
            <w:tcW w:w="1283"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92"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46"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r>
              <w:rPr>
                <w:rFonts w:ascii="宋体" w:hAnsi="宋体" w:cs="Times New Roman"/>
                <w:color w:val="auto"/>
                <w:sz w:val="21"/>
                <w:szCs w:val="21"/>
              </w:rPr>
              <w:t>下风向</w:t>
            </w:r>
            <w:r>
              <w:rPr>
                <w:rFonts w:cs="Times New Roman"/>
                <w:color w:val="auto"/>
                <w:kern w:val="0"/>
                <w:sz w:val="21"/>
                <w:szCs w:val="21"/>
              </w:rPr>
              <w:t>O</w:t>
            </w:r>
            <w:r>
              <w:rPr>
                <w:rFonts w:cs="Times New Roman"/>
                <w:color w:val="auto"/>
                <w:sz w:val="21"/>
                <w:szCs w:val="21"/>
              </w:rPr>
              <w:t>2</w:t>
            </w:r>
          </w:p>
        </w:tc>
        <w:tc>
          <w:tcPr>
            <w:tcW w:w="1092"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ND</w:t>
            </w:r>
          </w:p>
        </w:tc>
        <w:tc>
          <w:tcPr>
            <w:tcW w:w="1093"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ND</w:t>
            </w:r>
          </w:p>
        </w:tc>
        <w:tc>
          <w:tcPr>
            <w:tcW w:w="1096"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ND</w:t>
            </w:r>
          </w:p>
        </w:tc>
        <w:tc>
          <w:tcPr>
            <w:tcW w:w="122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jc w:val="center"/>
        </w:trPr>
        <w:tc>
          <w:tcPr>
            <w:tcW w:w="1283"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92"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46"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r>
              <w:rPr>
                <w:rFonts w:ascii="宋体" w:hAnsi="宋体" w:cs="Times New Roman"/>
                <w:color w:val="auto"/>
                <w:sz w:val="21"/>
                <w:szCs w:val="21"/>
              </w:rPr>
              <w:t>下风向</w:t>
            </w:r>
            <w:r>
              <w:rPr>
                <w:rFonts w:cs="Times New Roman"/>
                <w:color w:val="auto"/>
                <w:kern w:val="0"/>
                <w:sz w:val="21"/>
                <w:szCs w:val="21"/>
              </w:rPr>
              <w:t>O</w:t>
            </w:r>
            <w:r>
              <w:rPr>
                <w:rFonts w:cs="Times New Roman"/>
                <w:color w:val="auto"/>
                <w:sz w:val="21"/>
                <w:szCs w:val="21"/>
              </w:rPr>
              <w:t>3</w:t>
            </w:r>
          </w:p>
        </w:tc>
        <w:tc>
          <w:tcPr>
            <w:tcW w:w="1092"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ND</w:t>
            </w:r>
          </w:p>
        </w:tc>
        <w:tc>
          <w:tcPr>
            <w:tcW w:w="1093"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ND</w:t>
            </w:r>
          </w:p>
        </w:tc>
        <w:tc>
          <w:tcPr>
            <w:tcW w:w="1096"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ND</w:t>
            </w:r>
          </w:p>
        </w:tc>
        <w:tc>
          <w:tcPr>
            <w:tcW w:w="122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jc w:val="center"/>
        </w:trPr>
        <w:tc>
          <w:tcPr>
            <w:tcW w:w="1283"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92"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46"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r>
              <w:rPr>
                <w:rFonts w:ascii="宋体" w:hAnsi="宋体" w:cs="Times New Roman"/>
                <w:color w:val="auto"/>
                <w:sz w:val="21"/>
                <w:szCs w:val="21"/>
              </w:rPr>
              <w:t>下风向</w:t>
            </w:r>
            <w:r>
              <w:rPr>
                <w:rFonts w:cs="Times New Roman"/>
                <w:color w:val="auto"/>
                <w:kern w:val="0"/>
                <w:sz w:val="21"/>
                <w:szCs w:val="21"/>
              </w:rPr>
              <w:t>O</w:t>
            </w:r>
            <w:r>
              <w:rPr>
                <w:rFonts w:cs="Times New Roman"/>
                <w:color w:val="auto"/>
                <w:sz w:val="21"/>
                <w:szCs w:val="21"/>
              </w:rPr>
              <w:t>4</w:t>
            </w:r>
          </w:p>
        </w:tc>
        <w:tc>
          <w:tcPr>
            <w:tcW w:w="1092"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ND</w:t>
            </w:r>
          </w:p>
        </w:tc>
        <w:tc>
          <w:tcPr>
            <w:tcW w:w="1093"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ND</w:t>
            </w:r>
          </w:p>
        </w:tc>
        <w:tc>
          <w:tcPr>
            <w:tcW w:w="1096"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ND</w:t>
            </w:r>
          </w:p>
        </w:tc>
        <w:tc>
          <w:tcPr>
            <w:tcW w:w="122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jc w:val="center"/>
        </w:trPr>
        <w:tc>
          <w:tcPr>
            <w:tcW w:w="1283"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92" w:type="dxa"/>
            <w:vMerge w:val="restart"/>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kern w:val="0"/>
                <w:sz w:val="21"/>
                <w:szCs w:val="21"/>
              </w:rPr>
            </w:pPr>
            <w:r>
              <w:rPr>
                <w:rFonts w:cs="Times New Roman"/>
                <w:color w:val="auto"/>
                <w:kern w:val="0"/>
                <w:sz w:val="21"/>
                <w:szCs w:val="21"/>
              </w:rPr>
              <w:t>*</w:t>
            </w:r>
            <w:r>
              <w:rPr>
                <w:rFonts w:ascii="宋体" w:hAnsi="宋体" w:cs="Times New Roman"/>
                <w:color w:val="auto"/>
                <w:kern w:val="0"/>
                <w:sz w:val="21"/>
                <w:szCs w:val="21"/>
              </w:rPr>
              <w:t>镍及其化</w:t>
            </w:r>
          </w:p>
          <w:p>
            <w:pPr>
              <w:widowControl/>
              <w:spacing w:line="240" w:lineRule="auto"/>
              <w:ind w:firstLine="0" w:firstLineChars="0"/>
              <w:jc w:val="center"/>
              <w:rPr>
                <w:rFonts w:cs="Times New Roman"/>
                <w:color w:val="auto"/>
                <w:sz w:val="21"/>
                <w:szCs w:val="21"/>
              </w:rPr>
            </w:pPr>
            <w:r>
              <w:rPr>
                <w:rFonts w:ascii="宋体" w:hAnsi="宋体" w:cs="Times New Roman"/>
                <w:color w:val="auto"/>
                <w:kern w:val="0"/>
                <w:sz w:val="21"/>
                <w:szCs w:val="21"/>
              </w:rPr>
              <w:t>合物</w:t>
            </w:r>
          </w:p>
        </w:tc>
        <w:tc>
          <w:tcPr>
            <w:tcW w:w="1346"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r>
              <w:rPr>
                <w:rFonts w:ascii="宋体" w:hAnsi="宋体" w:cs="Times New Roman"/>
                <w:color w:val="auto"/>
                <w:sz w:val="21"/>
                <w:szCs w:val="21"/>
              </w:rPr>
              <w:t>上风向</w:t>
            </w:r>
            <w:r>
              <w:rPr>
                <w:rFonts w:cs="Times New Roman"/>
                <w:color w:val="auto"/>
                <w:kern w:val="0"/>
                <w:sz w:val="21"/>
                <w:szCs w:val="21"/>
              </w:rPr>
              <w:t>O</w:t>
            </w:r>
            <w:r>
              <w:rPr>
                <w:rFonts w:cs="Times New Roman"/>
                <w:color w:val="auto"/>
                <w:sz w:val="21"/>
                <w:szCs w:val="21"/>
              </w:rPr>
              <w:t>1</w:t>
            </w:r>
          </w:p>
        </w:tc>
        <w:tc>
          <w:tcPr>
            <w:tcW w:w="1092"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ND</w:t>
            </w:r>
          </w:p>
        </w:tc>
        <w:tc>
          <w:tcPr>
            <w:tcW w:w="1093"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ND</w:t>
            </w:r>
          </w:p>
        </w:tc>
        <w:tc>
          <w:tcPr>
            <w:tcW w:w="1096"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ND</w:t>
            </w:r>
          </w:p>
        </w:tc>
        <w:tc>
          <w:tcPr>
            <w:tcW w:w="1220" w:type="dxa"/>
            <w:vMerge w:val="restart"/>
            <w:tcBorders>
              <w:top w:val="nil"/>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0.040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jc w:val="center"/>
        </w:trPr>
        <w:tc>
          <w:tcPr>
            <w:tcW w:w="1283"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92"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46"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r>
              <w:rPr>
                <w:rFonts w:ascii="宋体" w:hAnsi="宋体" w:cs="Times New Roman"/>
                <w:color w:val="auto"/>
                <w:sz w:val="21"/>
                <w:szCs w:val="21"/>
              </w:rPr>
              <w:t>下风向</w:t>
            </w:r>
            <w:r>
              <w:rPr>
                <w:rFonts w:cs="Times New Roman"/>
                <w:color w:val="auto"/>
                <w:kern w:val="0"/>
                <w:sz w:val="21"/>
                <w:szCs w:val="21"/>
              </w:rPr>
              <w:t>O</w:t>
            </w:r>
            <w:r>
              <w:rPr>
                <w:rFonts w:cs="Times New Roman"/>
                <w:color w:val="auto"/>
                <w:sz w:val="21"/>
                <w:szCs w:val="21"/>
              </w:rPr>
              <w:t>2</w:t>
            </w:r>
          </w:p>
        </w:tc>
        <w:tc>
          <w:tcPr>
            <w:tcW w:w="1092"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ND</w:t>
            </w:r>
          </w:p>
        </w:tc>
        <w:tc>
          <w:tcPr>
            <w:tcW w:w="1093"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ND</w:t>
            </w:r>
          </w:p>
        </w:tc>
        <w:tc>
          <w:tcPr>
            <w:tcW w:w="1096"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ND</w:t>
            </w:r>
          </w:p>
        </w:tc>
        <w:tc>
          <w:tcPr>
            <w:tcW w:w="122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jc w:val="center"/>
        </w:trPr>
        <w:tc>
          <w:tcPr>
            <w:tcW w:w="1283"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92"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46"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r>
              <w:rPr>
                <w:rFonts w:ascii="宋体" w:hAnsi="宋体" w:cs="Times New Roman"/>
                <w:color w:val="auto"/>
                <w:sz w:val="21"/>
                <w:szCs w:val="21"/>
              </w:rPr>
              <w:t>下风向</w:t>
            </w:r>
            <w:r>
              <w:rPr>
                <w:rFonts w:cs="Times New Roman"/>
                <w:color w:val="auto"/>
                <w:kern w:val="0"/>
                <w:sz w:val="21"/>
                <w:szCs w:val="21"/>
              </w:rPr>
              <w:t>O</w:t>
            </w:r>
            <w:r>
              <w:rPr>
                <w:rFonts w:cs="Times New Roman"/>
                <w:color w:val="auto"/>
                <w:sz w:val="21"/>
                <w:szCs w:val="21"/>
              </w:rPr>
              <w:t>3</w:t>
            </w:r>
          </w:p>
        </w:tc>
        <w:tc>
          <w:tcPr>
            <w:tcW w:w="1092"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ND</w:t>
            </w:r>
          </w:p>
        </w:tc>
        <w:tc>
          <w:tcPr>
            <w:tcW w:w="1093"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ND</w:t>
            </w:r>
          </w:p>
        </w:tc>
        <w:tc>
          <w:tcPr>
            <w:tcW w:w="1096"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ND</w:t>
            </w:r>
          </w:p>
        </w:tc>
        <w:tc>
          <w:tcPr>
            <w:tcW w:w="122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jc w:val="center"/>
        </w:trPr>
        <w:tc>
          <w:tcPr>
            <w:tcW w:w="1283"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92"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46"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r>
              <w:rPr>
                <w:rFonts w:ascii="宋体" w:hAnsi="宋体" w:cs="Times New Roman"/>
                <w:color w:val="auto"/>
                <w:sz w:val="21"/>
                <w:szCs w:val="21"/>
              </w:rPr>
              <w:t>下风向</w:t>
            </w:r>
            <w:r>
              <w:rPr>
                <w:rFonts w:cs="Times New Roman"/>
                <w:color w:val="auto"/>
                <w:kern w:val="0"/>
                <w:sz w:val="21"/>
                <w:szCs w:val="21"/>
              </w:rPr>
              <w:t>O</w:t>
            </w:r>
            <w:r>
              <w:rPr>
                <w:rFonts w:cs="Times New Roman"/>
                <w:color w:val="auto"/>
                <w:sz w:val="21"/>
                <w:szCs w:val="21"/>
              </w:rPr>
              <w:t>4</w:t>
            </w:r>
          </w:p>
        </w:tc>
        <w:tc>
          <w:tcPr>
            <w:tcW w:w="1092"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ND</w:t>
            </w:r>
          </w:p>
        </w:tc>
        <w:tc>
          <w:tcPr>
            <w:tcW w:w="1093"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ND</w:t>
            </w:r>
          </w:p>
        </w:tc>
        <w:tc>
          <w:tcPr>
            <w:tcW w:w="1096"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ND</w:t>
            </w:r>
          </w:p>
        </w:tc>
        <w:tc>
          <w:tcPr>
            <w:tcW w:w="122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jc w:val="center"/>
        </w:trPr>
        <w:tc>
          <w:tcPr>
            <w:tcW w:w="1283"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92" w:type="dxa"/>
            <w:vMerge w:val="restart"/>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r>
              <w:rPr>
                <w:rFonts w:ascii="宋体" w:hAnsi="宋体" w:cs="Times New Roman"/>
                <w:color w:val="auto"/>
                <w:kern w:val="0"/>
                <w:sz w:val="21"/>
                <w:szCs w:val="21"/>
              </w:rPr>
              <w:t>二氧化硫</w:t>
            </w:r>
          </w:p>
        </w:tc>
        <w:tc>
          <w:tcPr>
            <w:tcW w:w="1346"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r>
              <w:rPr>
                <w:rFonts w:ascii="宋体" w:hAnsi="宋体" w:cs="Times New Roman"/>
                <w:color w:val="auto"/>
                <w:sz w:val="21"/>
                <w:szCs w:val="21"/>
              </w:rPr>
              <w:t>上风向</w:t>
            </w:r>
            <w:r>
              <w:rPr>
                <w:rFonts w:cs="Times New Roman"/>
                <w:color w:val="auto"/>
                <w:kern w:val="0"/>
                <w:sz w:val="21"/>
                <w:szCs w:val="21"/>
              </w:rPr>
              <w:t>O</w:t>
            </w:r>
            <w:r>
              <w:rPr>
                <w:rFonts w:cs="Times New Roman"/>
                <w:color w:val="auto"/>
                <w:sz w:val="21"/>
                <w:szCs w:val="21"/>
              </w:rPr>
              <w:t>1</w:t>
            </w:r>
          </w:p>
        </w:tc>
        <w:tc>
          <w:tcPr>
            <w:tcW w:w="1092"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0.010</w:t>
            </w:r>
          </w:p>
        </w:tc>
        <w:tc>
          <w:tcPr>
            <w:tcW w:w="1093"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0.020</w:t>
            </w:r>
          </w:p>
        </w:tc>
        <w:tc>
          <w:tcPr>
            <w:tcW w:w="1096"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0.012</w:t>
            </w:r>
          </w:p>
        </w:tc>
        <w:tc>
          <w:tcPr>
            <w:tcW w:w="1220" w:type="dxa"/>
            <w:vMerge w:val="restart"/>
            <w:tcBorders>
              <w:top w:val="nil"/>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jc w:val="center"/>
        </w:trPr>
        <w:tc>
          <w:tcPr>
            <w:tcW w:w="1283"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92"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46"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r>
              <w:rPr>
                <w:rFonts w:ascii="宋体" w:hAnsi="宋体" w:cs="Times New Roman"/>
                <w:color w:val="auto"/>
                <w:sz w:val="21"/>
                <w:szCs w:val="21"/>
              </w:rPr>
              <w:t>下风向</w:t>
            </w:r>
            <w:r>
              <w:rPr>
                <w:rFonts w:cs="Times New Roman"/>
                <w:color w:val="auto"/>
                <w:kern w:val="0"/>
                <w:sz w:val="21"/>
                <w:szCs w:val="21"/>
              </w:rPr>
              <w:t>O</w:t>
            </w:r>
            <w:r>
              <w:rPr>
                <w:rFonts w:cs="Times New Roman"/>
                <w:color w:val="auto"/>
                <w:sz w:val="21"/>
                <w:szCs w:val="21"/>
              </w:rPr>
              <w:t>2</w:t>
            </w:r>
          </w:p>
        </w:tc>
        <w:tc>
          <w:tcPr>
            <w:tcW w:w="1092"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0.028</w:t>
            </w:r>
          </w:p>
        </w:tc>
        <w:tc>
          <w:tcPr>
            <w:tcW w:w="1093"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0.033</w:t>
            </w:r>
          </w:p>
        </w:tc>
        <w:tc>
          <w:tcPr>
            <w:tcW w:w="1096"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0.030</w:t>
            </w:r>
          </w:p>
        </w:tc>
        <w:tc>
          <w:tcPr>
            <w:tcW w:w="122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jc w:val="center"/>
        </w:trPr>
        <w:tc>
          <w:tcPr>
            <w:tcW w:w="1283"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92"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46"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r>
              <w:rPr>
                <w:rFonts w:ascii="宋体" w:hAnsi="宋体" w:cs="Times New Roman"/>
                <w:color w:val="auto"/>
                <w:sz w:val="21"/>
                <w:szCs w:val="21"/>
              </w:rPr>
              <w:t>下风向</w:t>
            </w:r>
            <w:r>
              <w:rPr>
                <w:rFonts w:cs="Times New Roman"/>
                <w:color w:val="auto"/>
                <w:kern w:val="0"/>
                <w:sz w:val="21"/>
                <w:szCs w:val="21"/>
              </w:rPr>
              <w:t>O</w:t>
            </w:r>
            <w:r>
              <w:rPr>
                <w:rFonts w:cs="Times New Roman"/>
                <w:color w:val="auto"/>
                <w:sz w:val="21"/>
                <w:szCs w:val="21"/>
              </w:rPr>
              <w:t>3</w:t>
            </w:r>
          </w:p>
        </w:tc>
        <w:tc>
          <w:tcPr>
            <w:tcW w:w="1092"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0.024</w:t>
            </w:r>
          </w:p>
        </w:tc>
        <w:tc>
          <w:tcPr>
            <w:tcW w:w="1093"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0.044</w:t>
            </w:r>
          </w:p>
        </w:tc>
        <w:tc>
          <w:tcPr>
            <w:tcW w:w="1096"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0.041</w:t>
            </w:r>
          </w:p>
        </w:tc>
        <w:tc>
          <w:tcPr>
            <w:tcW w:w="122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jc w:val="center"/>
        </w:trPr>
        <w:tc>
          <w:tcPr>
            <w:tcW w:w="1283"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92"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46"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r>
              <w:rPr>
                <w:rFonts w:ascii="宋体" w:hAnsi="宋体" w:cs="Times New Roman"/>
                <w:color w:val="auto"/>
                <w:sz w:val="21"/>
                <w:szCs w:val="21"/>
              </w:rPr>
              <w:t>下风向</w:t>
            </w:r>
            <w:r>
              <w:rPr>
                <w:rFonts w:cs="Times New Roman"/>
                <w:color w:val="auto"/>
                <w:kern w:val="0"/>
                <w:sz w:val="21"/>
                <w:szCs w:val="21"/>
              </w:rPr>
              <w:t>O</w:t>
            </w:r>
            <w:r>
              <w:rPr>
                <w:rFonts w:cs="Times New Roman"/>
                <w:color w:val="auto"/>
                <w:sz w:val="21"/>
                <w:szCs w:val="21"/>
              </w:rPr>
              <w:t>4</w:t>
            </w:r>
          </w:p>
        </w:tc>
        <w:tc>
          <w:tcPr>
            <w:tcW w:w="1092"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0.032</w:t>
            </w:r>
          </w:p>
        </w:tc>
        <w:tc>
          <w:tcPr>
            <w:tcW w:w="1093"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0.053</w:t>
            </w:r>
          </w:p>
        </w:tc>
        <w:tc>
          <w:tcPr>
            <w:tcW w:w="1096"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0.050</w:t>
            </w:r>
          </w:p>
        </w:tc>
        <w:tc>
          <w:tcPr>
            <w:tcW w:w="122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jc w:val="center"/>
        </w:trPr>
        <w:tc>
          <w:tcPr>
            <w:tcW w:w="1283"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92" w:type="dxa"/>
            <w:vMerge w:val="restart"/>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r>
              <w:rPr>
                <w:rFonts w:ascii="宋体" w:hAnsi="宋体" w:cs="Times New Roman"/>
                <w:color w:val="auto"/>
                <w:kern w:val="0"/>
                <w:sz w:val="21"/>
                <w:szCs w:val="21"/>
              </w:rPr>
              <w:t>氮氧化物</w:t>
            </w:r>
          </w:p>
        </w:tc>
        <w:tc>
          <w:tcPr>
            <w:tcW w:w="1346"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r>
              <w:rPr>
                <w:rFonts w:ascii="宋体" w:hAnsi="宋体" w:cs="Times New Roman"/>
                <w:color w:val="auto"/>
                <w:sz w:val="21"/>
                <w:szCs w:val="21"/>
              </w:rPr>
              <w:t>上风向</w:t>
            </w:r>
            <w:r>
              <w:rPr>
                <w:rFonts w:cs="Times New Roman"/>
                <w:color w:val="auto"/>
                <w:kern w:val="0"/>
                <w:sz w:val="21"/>
                <w:szCs w:val="21"/>
              </w:rPr>
              <w:t>O</w:t>
            </w:r>
            <w:r>
              <w:rPr>
                <w:rFonts w:cs="Times New Roman"/>
                <w:color w:val="auto"/>
                <w:sz w:val="21"/>
                <w:szCs w:val="21"/>
              </w:rPr>
              <w:t>1</w:t>
            </w:r>
          </w:p>
        </w:tc>
        <w:tc>
          <w:tcPr>
            <w:tcW w:w="1092"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0.009</w:t>
            </w:r>
          </w:p>
        </w:tc>
        <w:tc>
          <w:tcPr>
            <w:tcW w:w="1093"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0.008</w:t>
            </w:r>
          </w:p>
        </w:tc>
        <w:tc>
          <w:tcPr>
            <w:tcW w:w="1096"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0.006</w:t>
            </w:r>
          </w:p>
        </w:tc>
        <w:tc>
          <w:tcPr>
            <w:tcW w:w="1220" w:type="dxa"/>
            <w:vMerge w:val="restart"/>
            <w:tcBorders>
              <w:top w:val="nil"/>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0.12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jc w:val="center"/>
        </w:trPr>
        <w:tc>
          <w:tcPr>
            <w:tcW w:w="1283"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92"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46"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r>
              <w:rPr>
                <w:rFonts w:ascii="宋体" w:hAnsi="宋体" w:cs="Times New Roman"/>
                <w:color w:val="auto"/>
                <w:sz w:val="21"/>
                <w:szCs w:val="21"/>
              </w:rPr>
              <w:t>下风向</w:t>
            </w:r>
            <w:r>
              <w:rPr>
                <w:rFonts w:cs="Times New Roman"/>
                <w:color w:val="auto"/>
                <w:kern w:val="0"/>
                <w:sz w:val="21"/>
                <w:szCs w:val="21"/>
              </w:rPr>
              <w:t>O</w:t>
            </w:r>
            <w:r>
              <w:rPr>
                <w:rFonts w:cs="Times New Roman"/>
                <w:color w:val="auto"/>
                <w:sz w:val="21"/>
                <w:szCs w:val="21"/>
              </w:rPr>
              <w:t>2</w:t>
            </w:r>
          </w:p>
        </w:tc>
        <w:tc>
          <w:tcPr>
            <w:tcW w:w="1092"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0.014</w:t>
            </w:r>
          </w:p>
        </w:tc>
        <w:tc>
          <w:tcPr>
            <w:tcW w:w="1093"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0.011</w:t>
            </w:r>
          </w:p>
        </w:tc>
        <w:tc>
          <w:tcPr>
            <w:tcW w:w="1096"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0.013</w:t>
            </w:r>
          </w:p>
        </w:tc>
        <w:tc>
          <w:tcPr>
            <w:tcW w:w="122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jc w:val="center"/>
        </w:trPr>
        <w:tc>
          <w:tcPr>
            <w:tcW w:w="1283"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92"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46"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r>
              <w:rPr>
                <w:rFonts w:ascii="宋体" w:hAnsi="宋体" w:cs="Times New Roman"/>
                <w:color w:val="auto"/>
                <w:sz w:val="21"/>
                <w:szCs w:val="21"/>
              </w:rPr>
              <w:t>下风向</w:t>
            </w:r>
            <w:r>
              <w:rPr>
                <w:rFonts w:cs="Times New Roman"/>
                <w:color w:val="auto"/>
                <w:kern w:val="0"/>
                <w:sz w:val="21"/>
                <w:szCs w:val="21"/>
              </w:rPr>
              <w:t>O</w:t>
            </w:r>
            <w:r>
              <w:rPr>
                <w:rFonts w:cs="Times New Roman"/>
                <w:color w:val="auto"/>
                <w:sz w:val="21"/>
                <w:szCs w:val="21"/>
              </w:rPr>
              <w:t>3</w:t>
            </w:r>
          </w:p>
        </w:tc>
        <w:tc>
          <w:tcPr>
            <w:tcW w:w="1092"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0.010 </w:t>
            </w:r>
          </w:p>
        </w:tc>
        <w:tc>
          <w:tcPr>
            <w:tcW w:w="1093"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0.012</w:t>
            </w:r>
          </w:p>
        </w:tc>
        <w:tc>
          <w:tcPr>
            <w:tcW w:w="1096"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0.019</w:t>
            </w:r>
          </w:p>
        </w:tc>
        <w:tc>
          <w:tcPr>
            <w:tcW w:w="122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jc w:val="center"/>
        </w:trPr>
        <w:tc>
          <w:tcPr>
            <w:tcW w:w="1283"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92"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46"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r>
              <w:rPr>
                <w:rFonts w:ascii="宋体" w:hAnsi="宋体" w:cs="Times New Roman"/>
                <w:color w:val="auto"/>
                <w:sz w:val="21"/>
                <w:szCs w:val="21"/>
              </w:rPr>
              <w:t>下风向</w:t>
            </w:r>
            <w:r>
              <w:rPr>
                <w:rFonts w:cs="Times New Roman"/>
                <w:color w:val="auto"/>
                <w:kern w:val="0"/>
                <w:sz w:val="21"/>
                <w:szCs w:val="21"/>
              </w:rPr>
              <w:t>O</w:t>
            </w:r>
            <w:r>
              <w:rPr>
                <w:rFonts w:cs="Times New Roman"/>
                <w:color w:val="auto"/>
                <w:sz w:val="21"/>
                <w:szCs w:val="21"/>
              </w:rPr>
              <w:t>4</w:t>
            </w:r>
          </w:p>
        </w:tc>
        <w:tc>
          <w:tcPr>
            <w:tcW w:w="1092"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0.018</w:t>
            </w:r>
          </w:p>
        </w:tc>
        <w:tc>
          <w:tcPr>
            <w:tcW w:w="1093"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0.025</w:t>
            </w:r>
          </w:p>
        </w:tc>
        <w:tc>
          <w:tcPr>
            <w:tcW w:w="1096"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0.024</w:t>
            </w:r>
          </w:p>
        </w:tc>
        <w:tc>
          <w:tcPr>
            <w:tcW w:w="122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jc w:val="center"/>
        </w:trPr>
        <w:tc>
          <w:tcPr>
            <w:tcW w:w="1283"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92"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r>
              <w:rPr>
                <w:rFonts w:ascii="宋体" w:hAnsi="宋体" w:cs="Times New Roman"/>
                <w:color w:val="auto"/>
                <w:kern w:val="0"/>
                <w:sz w:val="21"/>
                <w:szCs w:val="21"/>
              </w:rPr>
              <w:t>非甲烷总烃</w:t>
            </w:r>
          </w:p>
        </w:tc>
        <w:tc>
          <w:tcPr>
            <w:tcW w:w="1346"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r>
              <w:rPr>
                <w:rFonts w:ascii="宋体" w:hAnsi="宋体" w:cs="Times New Roman"/>
                <w:color w:val="auto"/>
                <w:sz w:val="21"/>
                <w:szCs w:val="21"/>
              </w:rPr>
              <w:t>厂区内</w:t>
            </w:r>
            <w:r>
              <w:rPr>
                <w:rFonts w:cs="Times New Roman"/>
                <w:color w:val="auto"/>
                <w:kern w:val="0"/>
                <w:sz w:val="21"/>
                <w:szCs w:val="21"/>
              </w:rPr>
              <w:t>O</w:t>
            </w:r>
            <w:r>
              <w:rPr>
                <w:rFonts w:cs="Times New Roman"/>
                <w:color w:val="auto"/>
                <w:sz w:val="21"/>
                <w:szCs w:val="21"/>
              </w:rPr>
              <w:t>5</w:t>
            </w:r>
          </w:p>
        </w:tc>
        <w:tc>
          <w:tcPr>
            <w:tcW w:w="1092"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1.58</w:t>
            </w:r>
          </w:p>
        </w:tc>
        <w:tc>
          <w:tcPr>
            <w:tcW w:w="1093"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1.61</w:t>
            </w:r>
          </w:p>
        </w:tc>
        <w:tc>
          <w:tcPr>
            <w:tcW w:w="1096"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1.72</w:t>
            </w:r>
          </w:p>
        </w:tc>
        <w:tc>
          <w:tcPr>
            <w:tcW w:w="1220"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998" w:hRule="atLeast"/>
          <w:jc w:val="center"/>
        </w:trPr>
        <w:tc>
          <w:tcPr>
            <w:tcW w:w="8522" w:type="dxa"/>
            <w:gridSpan w:val="7"/>
            <w:tcBorders>
              <w:top w:val="single" w:color="auto" w:sz="4" w:space="0"/>
              <w:left w:val="single" w:color="auto" w:sz="4" w:space="0"/>
              <w:bottom w:val="single" w:color="auto" w:sz="4" w:space="0"/>
              <w:right w:val="single" w:color="auto" w:sz="4" w:space="0"/>
            </w:tcBorders>
            <w:vAlign w:val="center"/>
          </w:tcPr>
          <w:p>
            <w:pPr>
              <w:autoSpaceDE w:val="0"/>
              <w:spacing w:line="240" w:lineRule="auto"/>
              <w:ind w:left="1050" w:hanging="1050" w:hangingChars="500"/>
              <w:rPr>
                <w:rFonts w:cs="Times New Roman"/>
                <w:color w:val="auto"/>
                <w:sz w:val="21"/>
                <w:szCs w:val="21"/>
              </w:rPr>
            </w:pPr>
            <w:r>
              <w:rPr>
                <w:rFonts w:ascii="宋体" w:hAnsi="宋体" w:cs="Times New Roman"/>
                <w:color w:val="auto"/>
                <w:sz w:val="21"/>
                <w:szCs w:val="21"/>
              </w:rPr>
              <w:t>备注：</w:t>
            </w:r>
            <w:r>
              <w:rPr>
                <w:rFonts w:cs="Times New Roman"/>
                <w:color w:val="auto"/>
                <w:sz w:val="21"/>
                <w:szCs w:val="21"/>
              </w:rPr>
              <w:t xml:space="preserve"> 1</w:t>
            </w:r>
            <w:r>
              <w:rPr>
                <w:rFonts w:ascii="宋体" w:hAnsi="宋体" w:cs="Times New Roman"/>
                <w:color w:val="auto"/>
                <w:sz w:val="21"/>
                <w:szCs w:val="21"/>
              </w:rPr>
              <w:t>、</w:t>
            </w:r>
            <w:r>
              <w:rPr>
                <w:rFonts w:ascii="宋体" w:hAnsi="宋体" w:cs="Times New Roman"/>
                <w:color w:val="auto"/>
                <w:kern w:val="0"/>
                <w:sz w:val="21"/>
                <w:szCs w:val="21"/>
              </w:rPr>
              <w:t>非甲烷总烃执行</w:t>
            </w:r>
            <w:r>
              <w:rPr>
                <w:rFonts w:ascii="宋体" w:hAnsi="宋体" w:cs="Times New Roman"/>
                <w:color w:val="auto"/>
                <w:sz w:val="21"/>
                <w:szCs w:val="21"/>
              </w:rPr>
              <w:t>广东省《固定污染源挥发性有机物综合排放标准》</w:t>
            </w:r>
            <w:r>
              <w:rPr>
                <w:rFonts w:cs="Times New Roman"/>
                <w:color w:val="auto"/>
                <w:sz w:val="21"/>
                <w:szCs w:val="21"/>
              </w:rPr>
              <w:t>(DB44/2367-2022)</w:t>
            </w:r>
            <w:r>
              <w:rPr>
                <w:rFonts w:ascii="宋体" w:hAnsi="宋体" w:cs="Times New Roman"/>
                <w:color w:val="auto"/>
                <w:sz w:val="21"/>
                <w:szCs w:val="21"/>
              </w:rPr>
              <w:t>表</w:t>
            </w:r>
            <w:r>
              <w:rPr>
                <w:rFonts w:cs="Times New Roman"/>
                <w:color w:val="auto"/>
                <w:sz w:val="21"/>
                <w:szCs w:val="21"/>
              </w:rPr>
              <w:t>3</w:t>
            </w:r>
            <w:r>
              <w:rPr>
                <w:rFonts w:ascii="宋体" w:hAnsi="宋体" w:cs="Times New Roman"/>
                <w:color w:val="auto"/>
                <w:sz w:val="21"/>
                <w:szCs w:val="21"/>
              </w:rPr>
              <w:t>厂区内</w:t>
            </w:r>
            <w:r>
              <w:rPr>
                <w:rFonts w:cs="Times New Roman"/>
                <w:color w:val="auto"/>
                <w:sz w:val="21"/>
                <w:szCs w:val="21"/>
              </w:rPr>
              <w:t>VOCs</w:t>
            </w:r>
            <w:r>
              <w:rPr>
                <w:rFonts w:ascii="宋体" w:hAnsi="宋体" w:cs="Times New Roman"/>
                <w:color w:val="auto"/>
                <w:sz w:val="21"/>
                <w:szCs w:val="21"/>
              </w:rPr>
              <w:t>无组织排放限值；其他项目执行广东省《大气污染物排放限值》（</w:t>
            </w:r>
            <w:r>
              <w:rPr>
                <w:rFonts w:cs="Times New Roman"/>
                <w:color w:val="auto"/>
                <w:sz w:val="21"/>
                <w:szCs w:val="21"/>
              </w:rPr>
              <w:t>DB44/27-2001</w:t>
            </w:r>
            <w:r>
              <w:rPr>
                <w:rFonts w:ascii="宋体" w:hAnsi="宋体" w:cs="Times New Roman"/>
                <w:color w:val="auto"/>
                <w:sz w:val="21"/>
                <w:szCs w:val="21"/>
              </w:rPr>
              <w:t>）第二时段无组织排放监控浓度限值；</w:t>
            </w:r>
            <w:r>
              <w:rPr>
                <w:rFonts w:cs="Times New Roman"/>
                <w:color w:val="auto"/>
                <w:sz w:val="21"/>
                <w:szCs w:val="21"/>
              </w:rPr>
              <w:t xml:space="preserve"> </w:t>
            </w:r>
          </w:p>
          <w:p>
            <w:pPr>
              <w:autoSpaceDE w:val="0"/>
              <w:spacing w:line="240" w:lineRule="auto"/>
              <w:ind w:firstLine="764" w:firstLineChars="364"/>
              <w:rPr>
                <w:rFonts w:cs="Times New Roman"/>
                <w:color w:val="auto"/>
                <w:sz w:val="21"/>
                <w:szCs w:val="21"/>
              </w:rPr>
            </w:pPr>
            <w:r>
              <w:rPr>
                <w:rFonts w:cs="Times New Roman"/>
                <w:color w:val="auto"/>
                <w:sz w:val="21"/>
                <w:szCs w:val="21"/>
              </w:rPr>
              <w:t>2</w:t>
            </w:r>
            <w:r>
              <w:rPr>
                <w:rFonts w:ascii="宋体" w:hAnsi="宋体" w:cs="Times New Roman"/>
                <w:color w:val="auto"/>
                <w:sz w:val="21"/>
                <w:szCs w:val="21"/>
              </w:rPr>
              <w:t>、</w:t>
            </w:r>
            <w:r>
              <w:rPr>
                <w:rFonts w:cs="Times New Roman"/>
                <w:color w:val="auto"/>
                <w:sz w:val="21"/>
                <w:szCs w:val="21"/>
              </w:rPr>
              <w:t>ND</w:t>
            </w:r>
            <w:r>
              <w:rPr>
                <w:rFonts w:ascii="宋体" w:hAnsi="宋体" w:cs="Times New Roman"/>
                <w:color w:val="auto"/>
                <w:sz w:val="21"/>
                <w:szCs w:val="21"/>
              </w:rPr>
              <w:t>为未检出；</w:t>
            </w:r>
          </w:p>
          <w:p>
            <w:pPr>
              <w:autoSpaceDE w:val="0"/>
              <w:spacing w:line="240" w:lineRule="auto"/>
              <w:ind w:firstLine="764" w:firstLineChars="364"/>
              <w:rPr>
                <w:rFonts w:cs="Times New Roman"/>
                <w:color w:val="auto"/>
                <w:sz w:val="21"/>
                <w:szCs w:val="21"/>
              </w:rPr>
            </w:pPr>
            <w:r>
              <w:rPr>
                <w:rFonts w:cs="Times New Roman"/>
                <w:color w:val="auto"/>
                <w:sz w:val="21"/>
                <w:szCs w:val="21"/>
              </w:rPr>
              <w:t>3</w:t>
            </w:r>
            <w:r>
              <w:rPr>
                <w:rFonts w:ascii="宋体" w:hAnsi="宋体" w:cs="Times New Roman"/>
                <w:color w:val="auto"/>
                <w:sz w:val="21"/>
                <w:szCs w:val="21"/>
              </w:rPr>
              <w:t>、本报告结果只对当时采样监测结果负责；</w:t>
            </w:r>
          </w:p>
          <w:p>
            <w:pPr>
              <w:autoSpaceDE w:val="0"/>
              <w:spacing w:line="240" w:lineRule="auto"/>
              <w:ind w:firstLine="764" w:firstLineChars="364"/>
              <w:rPr>
                <w:rFonts w:cs="Times New Roman"/>
                <w:color w:val="auto"/>
                <w:sz w:val="21"/>
                <w:szCs w:val="21"/>
              </w:rPr>
            </w:pPr>
            <w:r>
              <w:rPr>
                <w:rFonts w:cs="Times New Roman"/>
                <w:color w:val="auto"/>
                <w:sz w:val="21"/>
                <w:szCs w:val="21"/>
              </w:rPr>
              <w:t>4</w:t>
            </w:r>
            <w:r>
              <w:rPr>
                <w:rFonts w:ascii="宋体" w:hAnsi="宋体" w:cs="Times New Roman"/>
                <w:color w:val="auto"/>
                <w:sz w:val="21"/>
                <w:szCs w:val="21"/>
              </w:rPr>
              <w:t>、</w:t>
            </w:r>
            <w:r>
              <w:rPr>
                <w:rFonts w:cs="Times New Roman"/>
                <w:color w:val="auto"/>
                <w:sz w:val="21"/>
                <w:szCs w:val="21"/>
              </w:rPr>
              <w:t>“*”</w:t>
            </w:r>
            <w:r>
              <w:rPr>
                <w:rFonts w:ascii="宋体" w:hAnsi="宋体" w:cs="Times New Roman"/>
                <w:color w:val="auto"/>
                <w:sz w:val="21"/>
                <w:szCs w:val="21"/>
              </w:rPr>
              <w:t>表示检测结果由美澳检测</w:t>
            </w:r>
            <w:r>
              <w:rPr>
                <w:rFonts w:cs="Times New Roman"/>
                <w:color w:val="auto"/>
                <w:sz w:val="21"/>
                <w:szCs w:val="21"/>
              </w:rPr>
              <w:t>(</w:t>
            </w:r>
            <w:r>
              <w:rPr>
                <w:rFonts w:ascii="宋体" w:hAnsi="宋体" w:cs="Times New Roman"/>
                <w:color w:val="auto"/>
                <w:sz w:val="21"/>
                <w:szCs w:val="21"/>
              </w:rPr>
              <w:t>惠州</w:t>
            </w:r>
            <w:r>
              <w:rPr>
                <w:rFonts w:cs="Times New Roman"/>
                <w:color w:val="auto"/>
                <w:sz w:val="21"/>
                <w:szCs w:val="21"/>
              </w:rPr>
              <w:t>)</w:t>
            </w:r>
            <w:r>
              <w:rPr>
                <w:rFonts w:ascii="宋体" w:hAnsi="宋体" w:cs="Times New Roman"/>
                <w:color w:val="auto"/>
                <w:sz w:val="21"/>
                <w:szCs w:val="21"/>
              </w:rPr>
              <w:t>有限公司提供，资质证书编号为</w:t>
            </w:r>
            <w:r>
              <w:rPr>
                <w:rFonts w:cs="Times New Roman"/>
                <w:color w:val="auto"/>
                <w:sz w:val="21"/>
                <w:szCs w:val="21"/>
              </w:rPr>
              <w:t>:202019124862</w:t>
            </w:r>
            <w:r>
              <w:rPr>
                <w:rFonts w:ascii="宋体" w:hAnsi="宋体" w:cs="Times New Roman"/>
                <w:color w:val="auto"/>
                <w:sz w:val="21"/>
                <w:szCs w:val="21"/>
              </w:rPr>
              <w:t>。</w:t>
            </w:r>
          </w:p>
        </w:tc>
      </w:tr>
    </w:tbl>
    <w:p>
      <w:pPr>
        <w:pStyle w:val="37"/>
        <w:rPr>
          <w:color w:val="auto"/>
        </w:rPr>
      </w:pPr>
      <w:r>
        <w:rPr>
          <w:rFonts w:hint="eastAsia"/>
          <w:color w:val="auto"/>
        </w:rPr>
        <w:t>表 9.1</w:t>
      </w:r>
      <w:r>
        <w:rPr>
          <w:color w:val="auto"/>
        </w:rPr>
        <w:noBreakHyphen/>
      </w:r>
      <w:r>
        <w:rPr>
          <w:color w:val="auto"/>
        </w:rPr>
        <w:fldChar w:fldCharType="begin"/>
      </w:r>
      <w:r>
        <w:rPr>
          <w:color w:val="auto"/>
        </w:rPr>
        <w:instrText xml:space="preserve"> </w:instrText>
      </w:r>
      <w:r>
        <w:rPr>
          <w:rFonts w:hint="eastAsia"/>
          <w:color w:val="auto"/>
        </w:rPr>
        <w:instrText xml:space="preserve">SEQ 表 \* ARABIC \s 2</w:instrText>
      </w:r>
      <w:r>
        <w:rPr>
          <w:color w:val="auto"/>
        </w:rPr>
        <w:instrText xml:space="preserve"> </w:instrText>
      </w:r>
      <w:r>
        <w:rPr>
          <w:color w:val="auto"/>
        </w:rPr>
        <w:fldChar w:fldCharType="separate"/>
      </w:r>
      <w:r>
        <w:rPr>
          <w:color w:val="auto"/>
        </w:rPr>
        <w:t>2</w:t>
      </w:r>
      <w:r>
        <w:rPr>
          <w:color w:val="auto"/>
        </w:rPr>
        <w:fldChar w:fldCharType="end"/>
      </w:r>
      <w:r>
        <w:rPr>
          <w:color w:val="auto"/>
        </w:rPr>
        <w:t xml:space="preserve"> </w:t>
      </w:r>
      <w:r>
        <w:rPr>
          <w:rFonts w:hint="eastAsia"/>
          <w:color w:val="auto"/>
        </w:rPr>
        <w:t>无组织废气检测结果（3）</w:t>
      </w:r>
    </w:p>
    <w:tbl>
      <w:tblPr>
        <w:tblStyle w:val="24"/>
        <w:tblW w:w="852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09"/>
        <w:gridCol w:w="1323"/>
        <w:gridCol w:w="1362"/>
        <w:gridCol w:w="857"/>
        <w:gridCol w:w="857"/>
        <w:gridCol w:w="857"/>
        <w:gridCol w:w="859"/>
        <w:gridCol w:w="10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6" w:hRule="atLeast"/>
          <w:jc w:val="center"/>
        </w:trPr>
        <w:tc>
          <w:tcPr>
            <w:tcW w:w="1309" w:type="dxa"/>
            <w:vMerge w:val="restart"/>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rPr>
                <w:rFonts w:cs="Times New Roman"/>
                <w:b/>
                <w:bCs/>
                <w:color w:val="auto"/>
                <w:sz w:val="21"/>
                <w:szCs w:val="21"/>
              </w:rPr>
            </w:pPr>
            <w:bookmarkStart w:id="100" w:name="_Hlk214916015"/>
            <w:r>
              <w:rPr>
                <w:rFonts w:ascii="宋体" w:hAnsi="宋体" w:cs="Times New Roman"/>
                <w:b/>
                <w:bCs/>
                <w:color w:val="auto"/>
                <w:sz w:val="21"/>
                <w:szCs w:val="21"/>
              </w:rPr>
              <w:t>检测日期</w:t>
            </w:r>
          </w:p>
        </w:tc>
        <w:tc>
          <w:tcPr>
            <w:tcW w:w="1323" w:type="dxa"/>
            <w:vMerge w:val="restart"/>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b/>
                <w:bCs/>
                <w:color w:val="auto"/>
                <w:sz w:val="21"/>
                <w:szCs w:val="21"/>
              </w:rPr>
            </w:pPr>
            <w:r>
              <w:rPr>
                <w:rFonts w:ascii="宋体" w:hAnsi="宋体" w:cs="Times New Roman"/>
                <w:b/>
                <w:bCs/>
                <w:color w:val="auto"/>
                <w:sz w:val="21"/>
                <w:szCs w:val="21"/>
              </w:rPr>
              <w:t>检测项目</w:t>
            </w:r>
          </w:p>
        </w:tc>
        <w:tc>
          <w:tcPr>
            <w:tcW w:w="1362" w:type="dxa"/>
            <w:vMerge w:val="restart"/>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b/>
                <w:bCs/>
                <w:color w:val="auto"/>
                <w:sz w:val="21"/>
                <w:szCs w:val="21"/>
              </w:rPr>
            </w:pPr>
            <w:r>
              <w:rPr>
                <w:rFonts w:ascii="宋体" w:hAnsi="宋体" w:cs="Times New Roman"/>
                <w:b/>
                <w:bCs/>
                <w:color w:val="auto"/>
                <w:sz w:val="21"/>
                <w:szCs w:val="21"/>
              </w:rPr>
              <w:t>检测点位</w:t>
            </w:r>
          </w:p>
        </w:tc>
        <w:tc>
          <w:tcPr>
            <w:tcW w:w="3430" w:type="dxa"/>
            <w:gridSpan w:val="4"/>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b/>
                <w:bCs/>
                <w:color w:val="auto"/>
                <w:kern w:val="0"/>
                <w:sz w:val="21"/>
                <w:szCs w:val="21"/>
              </w:rPr>
            </w:pPr>
            <w:r>
              <w:rPr>
                <w:rFonts w:cs="Times New Roman"/>
                <w:b/>
                <w:bCs/>
                <w:color w:val="auto"/>
                <w:kern w:val="0"/>
                <w:sz w:val="21"/>
                <w:szCs w:val="21"/>
              </w:rPr>
              <w:t xml:space="preserve">  </w:t>
            </w:r>
            <w:r>
              <w:rPr>
                <w:rFonts w:ascii="宋体" w:hAnsi="宋体" w:cs="Times New Roman"/>
                <w:b/>
                <w:bCs/>
                <w:color w:val="auto"/>
                <w:kern w:val="0"/>
                <w:sz w:val="21"/>
                <w:szCs w:val="21"/>
              </w:rPr>
              <w:t>检测结果（</w:t>
            </w:r>
            <w:r>
              <w:rPr>
                <w:rFonts w:ascii="宋体" w:hAnsi="宋体" w:cs="Times New Roman"/>
                <w:b/>
                <w:bCs/>
                <w:color w:val="auto"/>
                <w:sz w:val="21"/>
                <w:szCs w:val="21"/>
              </w:rPr>
              <w:t>无量纲</w:t>
            </w:r>
            <w:r>
              <w:rPr>
                <w:rFonts w:ascii="宋体" w:hAnsi="宋体" w:cs="Times New Roman"/>
                <w:b/>
                <w:bCs/>
                <w:color w:val="auto"/>
                <w:kern w:val="0"/>
                <w:sz w:val="21"/>
                <w:szCs w:val="21"/>
              </w:rPr>
              <w:t>）</w:t>
            </w:r>
          </w:p>
        </w:tc>
        <w:tc>
          <w:tcPr>
            <w:tcW w:w="1098" w:type="dxa"/>
            <w:vMerge w:val="restart"/>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rPr>
                <w:rFonts w:cs="Times New Roman"/>
                <w:b/>
                <w:bCs/>
                <w:color w:val="auto"/>
                <w:sz w:val="21"/>
                <w:szCs w:val="21"/>
              </w:rPr>
            </w:pPr>
            <w:r>
              <w:rPr>
                <w:rFonts w:ascii="宋体" w:hAnsi="宋体" w:cs="Times New Roman"/>
                <w:b/>
                <w:bCs/>
                <w:color w:val="auto"/>
                <w:sz w:val="21"/>
                <w:szCs w:val="21"/>
              </w:rPr>
              <w:t>浓度限值</w:t>
            </w:r>
            <w:r>
              <w:rPr>
                <w:rFonts w:cs="Times New Roman"/>
                <w:b/>
                <w:bCs/>
                <w:color w:val="auto"/>
                <w:sz w:val="21"/>
                <w:szCs w:val="21"/>
              </w:rPr>
              <w:t>(</w:t>
            </w:r>
            <w:r>
              <w:rPr>
                <w:rFonts w:ascii="宋体" w:hAnsi="宋体" w:cs="Times New Roman"/>
                <w:b/>
                <w:bCs/>
                <w:color w:val="auto"/>
                <w:sz w:val="21"/>
                <w:szCs w:val="21"/>
              </w:rPr>
              <w:t>无量纲</w:t>
            </w:r>
            <w:r>
              <w:rPr>
                <w:rFonts w:cs="Times New Roman"/>
                <w:b/>
                <w:bCs/>
                <w:color w:val="auto"/>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6" w:hRule="atLeast"/>
          <w:jc w:val="center"/>
        </w:trPr>
        <w:tc>
          <w:tcPr>
            <w:tcW w:w="1309"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b/>
                <w:bCs/>
                <w:color w:val="auto"/>
                <w:sz w:val="21"/>
                <w:szCs w:val="21"/>
              </w:rPr>
            </w:pPr>
          </w:p>
        </w:tc>
        <w:tc>
          <w:tcPr>
            <w:tcW w:w="1323"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b/>
                <w:bCs/>
                <w:color w:val="auto"/>
                <w:sz w:val="21"/>
                <w:szCs w:val="21"/>
              </w:rPr>
            </w:pPr>
          </w:p>
        </w:tc>
        <w:tc>
          <w:tcPr>
            <w:tcW w:w="1362"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b/>
                <w:bCs/>
                <w:color w:val="auto"/>
                <w:sz w:val="21"/>
                <w:szCs w:val="21"/>
              </w:rPr>
            </w:pPr>
          </w:p>
        </w:tc>
        <w:tc>
          <w:tcPr>
            <w:tcW w:w="857"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b/>
                <w:bCs/>
                <w:color w:val="auto"/>
                <w:kern w:val="0"/>
                <w:sz w:val="21"/>
                <w:szCs w:val="21"/>
              </w:rPr>
            </w:pPr>
            <w:r>
              <w:rPr>
                <w:rFonts w:ascii="宋体" w:hAnsi="宋体" w:cs="Times New Roman"/>
                <w:b/>
                <w:bCs/>
                <w:color w:val="auto"/>
                <w:kern w:val="0"/>
                <w:sz w:val="21"/>
                <w:szCs w:val="21"/>
              </w:rPr>
              <w:t>第</w:t>
            </w:r>
            <w:r>
              <w:rPr>
                <w:rFonts w:cs="Times New Roman"/>
                <w:b/>
                <w:bCs/>
                <w:color w:val="auto"/>
                <w:kern w:val="0"/>
                <w:sz w:val="21"/>
                <w:szCs w:val="21"/>
              </w:rPr>
              <w:t>1</w:t>
            </w:r>
            <w:r>
              <w:rPr>
                <w:rFonts w:ascii="宋体" w:hAnsi="宋体" w:cs="Times New Roman"/>
                <w:b/>
                <w:bCs/>
                <w:color w:val="auto"/>
                <w:kern w:val="0"/>
                <w:sz w:val="21"/>
                <w:szCs w:val="21"/>
              </w:rPr>
              <w:t>次</w:t>
            </w:r>
          </w:p>
        </w:tc>
        <w:tc>
          <w:tcPr>
            <w:tcW w:w="857"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b/>
                <w:bCs/>
                <w:color w:val="auto"/>
                <w:kern w:val="0"/>
                <w:sz w:val="21"/>
                <w:szCs w:val="21"/>
              </w:rPr>
            </w:pPr>
            <w:r>
              <w:rPr>
                <w:rFonts w:ascii="宋体" w:hAnsi="宋体" w:cs="Times New Roman"/>
                <w:b/>
                <w:bCs/>
                <w:color w:val="auto"/>
                <w:kern w:val="0"/>
                <w:sz w:val="21"/>
                <w:szCs w:val="21"/>
              </w:rPr>
              <w:t>第</w:t>
            </w:r>
            <w:r>
              <w:rPr>
                <w:rFonts w:cs="Times New Roman"/>
                <w:b/>
                <w:bCs/>
                <w:color w:val="auto"/>
                <w:kern w:val="0"/>
                <w:sz w:val="21"/>
                <w:szCs w:val="21"/>
              </w:rPr>
              <w:t>2</w:t>
            </w:r>
            <w:r>
              <w:rPr>
                <w:rFonts w:ascii="宋体" w:hAnsi="宋体" w:cs="Times New Roman"/>
                <w:b/>
                <w:bCs/>
                <w:color w:val="auto"/>
                <w:kern w:val="0"/>
                <w:sz w:val="21"/>
                <w:szCs w:val="21"/>
              </w:rPr>
              <w:t>次</w:t>
            </w:r>
          </w:p>
        </w:tc>
        <w:tc>
          <w:tcPr>
            <w:tcW w:w="857"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b/>
                <w:bCs/>
                <w:color w:val="auto"/>
                <w:kern w:val="0"/>
                <w:sz w:val="21"/>
                <w:szCs w:val="21"/>
              </w:rPr>
            </w:pPr>
            <w:r>
              <w:rPr>
                <w:rFonts w:ascii="宋体" w:hAnsi="宋体" w:cs="Times New Roman"/>
                <w:b/>
                <w:bCs/>
                <w:color w:val="auto"/>
                <w:kern w:val="0"/>
                <w:sz w:val="21"/>
                <w:szCs w:val="21"/>
              </w:rPr>
              <w:t>第</w:t>
            </w:r>
            <w:r>
              <w:rPr>
                <w:rFonts w:cs="Times New Roman"/>
                <w:b/>
                <w:bCs/>
                <w:color w:val="auto"/>
                <w:kern w:val="0"/>
                <w:sz w:val="21"/>
                <w:szCs w:val="21"/>
              </w:rPr>
              <w:t>3</w:t>
            </w:r>
            <w:r>
              <w:rPr>
                <w:rFonts w:ascii="宋体" w:hAnsi="宋体" w:cs="Times New Roman"/>
                <w:b/>
                <w:bCs/>
                <w:color w:val="auto"/>
                <w:kern w:val="0"/>
                <w:sz w:val="21"/>
                <w:szCs w:val="21"/>
              </w:rPr>
              <w:t>次</w:t>
            </w:r>
          </w:p>
        </w:tc>
        <w:tc>
          <w:tcPr>
            <w:tcW w:w="859"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b/>
                <w:bCs/>
                <w:color w:val="auto"/>
                <w:kern w:val="0"/>
                <w:sz w:val="21"/>
                <w:szCs w:val="21"/>
              </w:rPr>
            </w:pPr>
            <w:r>
              <w:rPr>
                <w:rFonts w:ascii="宋体" w:hAnsi="宋体" w:cs="Times New Roman"/>
                <w:b/>
                <w:bCs/>
                <w:color w:val="auto"/>
                <w:kern w:val="0"/>
                <w:sz w:val="21"/>
                <w:szCs w:val="21"/>
              </w:rPr>
              <w:t>第</w:t>
            </w:r>
            <w:r>
              <w:rPr>
                <w:rFonts w:cs="Times New Roman"/>
                <w:b/>
                <w:bCs/>
                <w:color w:val="auto"/>
                <w:kern w:val="0"/>
                <w:sz w:val="21"/>
                <w:szCs w:val="21"/>
              </w:rPr>
              <w:t>4</w:t>
            </w:r>
            <w:r>
              <w:rPr>
                <w:rFonts w:ascii="宋体" w:hAnsi="宋体" w:cs="Times New Roman"/>
                <w:b/>
                <w:bCs/>
                <w:color w:val="auto"/>
                <w:kern w:val="0"/>
                <w:sz w:val="21"/>
                <w:szCs w:val="21"/>
              </w:rPr>
              <w:t>次</w:t>
            </w:r>
          </w:p>
        </w:tc>
        <w:tc>
          <w:tcPr>
            <w:tcW w:w="1098"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b/>
                <w:bCs/>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jc w:val="center"/>
        </w:trPr>
        <w:tc>
          <w:tcPr>
            <w:tcW w:w="1309" w:type="dxa"/>
            <w:vMerge w:val="restart"/>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r>
              <w:rPr>
                <w:rFonts w:cs="Times New Roman"/>
                <w:color w:val="auto"/>
                <w:sz w:val="21"/>
                <w:szCs w:val="21"/>
              </w:rPr>
              <w:t>2025.12.10</w:t>
            </w:r>
          </w:p>
        </w:tc>
        <w:tc>
          <w:tcPr>
            <w:tcW w:w="1323" w:type="dxa"/>
            <w:vMerge w:val="restart"/>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p>
          <w:p>
            <w:pPr>
              <w:widowControl/>
              <w:spacing w:line="240" w:lineRule="auto"/>
              <w:ind w:firstLine="0" w:firstLineChars="0"/>
              <w:jc w:val="center"/>
              <w:rPr>
                <w:rFonts w:cs="Times New Roman"/>
                <w:color w:val="auto"/>
                <w:sz w:val="21"/>
                <w:szCs w:val="21"/>
              </w:rPr>
            </w:pPr>
            <w:r>
              <w:rPr>
                <w:rFonts w:ascii="宋体" w:hAnsi="宋体" w:cs="Times New Roman"/>
                <w:color w:val="auto"/>
                <w:sz w:val="21"/>
                <w:szCs w:val="21"/>
              </w:rPr>
              <w:t>臭气浓度</w:t>
            </w:r>
          </w:p>
          <w:p>
            <w:pPr>
              <w:widowControl/>
              <w:spacing w:line="240" w:lineRule="auto"/>
              <w:ind w:firstLine="0" w:firstLineChars="0"/>
              <w:jc w:val="center"/>
              <w:rPr>
                <w:rFonts w:cs="Times New Roman"/>
                <w:color w:val="auto"/>
                <w:kern w:val="0"/>
                <w:sz w:val="21"/>
                <w:szCs w:val="21"/>
              </w:rPr>
            </w:pPr>
          </w:p>
        </w:tc>
        <w:tc>
          <w:tcPr>
            <w:tcW w:w="1362" w:type="dxa"/>
            <w:tcBorders>
              <w:top w:val="single" w:color="auto" w:sz="4" w:space="0"/>
              <w:left w:val="single" w:color="auto" w:sz="4" w:space="0"/>
              <w:bottom w:val="single" w:color="auto" w:sz="4" w:space="0"/>
              <w:right w:val="single" w:color="auto" w:sz="4" w:space="0"/>
            </w:tcBorders>
            <w:vAlign w:val="center"/>
          </w:tcPr>
          <w:p>
            <w:pPr>
              <w:autoSpaceDE w:val="0"/>
              <w:spacing w:line="288" w:lineRule="auto"/>
              <w:ind w:firstLine="0" w:firstLineChars="0"/>
              <w:jc w:val="center"/>
              <w:rPr>
                <w:rFonts w:cs="Times New Roman"/>
                <w:color w:val="auto"/>
                <w:sz w:val="21"/>
                <w:szCs w:val="21"/>
              </w:rPr>
            </w:pPr>
            <w:r>
              <w:rPr>
                <w:rFonts w:ascii="宋体" w:hAnsi="宋体" w:cs="Times New Roman"/>
                <w:color w:val="auto"/>
                <w:sz w:val="21"/>
                <w:szCs w:val="21"/>
              </w:rPr>
              <w:t>上风向</w:t>
            </w:r>
            <w:r>
              <w:rPr>
                <w:rFonts w:cs="Times New Roman"/>
                <w:color w:val="auto"/>
                <w:kern w:val="0"/>
                <w:sz w:val="21"/>
                <w:szCs w:val="21"/>
              </w:rPr>
              <w:t>G</w:t>
            </w:r>
            <w:r>
              <w:rPr>
                <w:rFonts w:cs="Times New Roman"/>
                <w:color w:val="auto"/>
                <w:sz w:val="21"/>
                <w:szCs w:val="21"/>
              </w:rPr>
              <w:t>1</w:t>
            </w:r>
          </w:p>
        </w:tc>
        <w:tc>
          <w:tcPr>
            <w:tcW w:w="857"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ND</w:t>
            </w:r>
          </w:p>
        </w:tc>
        <w:tc>
          <w:tcPr>
            <w:tcW w:w="857"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ND</w:t>
            </w:r>
          </w:p>
        </w:tc>
        <w:tc>
          <w:tcPr>
            <w:tcW w:w="857"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ND</w:t>
            </w:r>
          </w:p>
        </w:tc>
        <w:tc>
          <w:tcPr>
            <w:tcW w:w="85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ND</w:t>
            </w:r>
          </w:p>
        </w:tc>
        <w:tc>
          <w:tcPr>
            <w:tcW w:w="1098" w:type="dxa"/>
            <w:vMerge w:val="restart"/>
            <w:tcBorders>
              <w:top w:val="nil"/>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jc w:val="center"/>
        </w:trPr>
        <w:tc>
          <w:tcPr>
            <w:tcW w:w="130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23"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kern w:val="0"/>
                <w:sz w:val="21"/>
                <w:szCs w:val="21"/>
              </w:rPr>
            </w:pPr>
          </w:p>
        </w:tc>
        <w:tc>
          <w:tcPr>
            <w:tcW w:w="1362" w:type="dxa"/>
            <w:tcBorders>
              <w:top w:val="single" w:color="auto" w:sz="4" w:space="0"/>
              <w:left w:val="single" w:color="auto" w:sz="4" w:space="0"/>
              <w:bottom w:val="single" w:color="auto" w:sz="4" w:space="0"/>
              <w:right w:val="single" w:color="auto" w:sz="4" w:space="0"/>
            </w:tcBorders>
            <w:vAlign w:val="center"/>
          </w:tcPr>
          <w:p>
            <w:pPr>
              <w:autoSpaceDE w:val="0"/>
              <w:spacing w:line="288" w:lineRule="auto"/>
              <w:ind w:firstLine="0" w:firstLineChars="0"/>
              <w:jc w:val="center"/>
              <w:rPr>
                <w:rFonts w:cs="Times New Roman"/>
                <w:color w:val="auto"/>
                <w:sz w:val="21"/>
                <w:szCs w:val="21"/>
              </w:rPr>
            </w:pPr>
            <w:r>
              <w:rPr>
                <w:rFonts w:ascii="宋体" w:hAnsi="宋体" w:cs="Times New Roman"/>
                <w:color w:val="auto"/>
                <w:sz w:val="21"/>
                <w:szCs w:val="21"/>
              </w:rPr>
              <w:t>下风向</w:t>
            </w:r>
            <w:r>
              <w:rPr>
                <w:rFonts w:cs="Times New Roman"/>
                <w:color w:val="auto"/>
                <w:kern w:val="0"/>
                <w:sz w:val="21"/>
                <w:szCs w:val="21"/>
              </w:rPr>
              <w:t>G</w:t>
            </w:r>
            <w:r>
              <w:rPr>
                <w:rFonts w:cs="Times New Roman"/>
                <w:color w:val="auto"/>
                <w:sz w:val="21"/>
                <w:szCs w:val="21"/>
              </w:rPr>
              <w:t>2</w:t>
            </w:r>
          </w:p>
        </w:tc>
        <w:tc>
          <w:tcPr>
            <w:tcW w:w="857"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12</w:t>
            </w:r>
          </w:p>
        </w:tc>
        <w:tc>
          <w:tcPr>
            <w:tcW w:w="857"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13</w:t>
            </w:r>
          </w:p>
        </w:tc>
        <w:tc>
          <w:tcPr>
            <w:tcW w:w="857"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16</w:t>
            </w:r>
          </w:p>
        </w:tc>
        <w:tc>
          <w:tcPr>
            <w:tcW w:w="85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15</w:t>
            </w:r>
          </w:p>
        </w:tc>
        <w:tc>
          <w:tcPr>
            <w:tcW w:w="1098"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jc w:val="center"/>
        </w:trPr>
        <w:tc>
          <w:tcPr>
            <w:tcW w:w="130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23"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kern w:val="0"/>
                <w:sz w:val="21"/>
                <w:szCs w:val="21"/>
              </w:rPr>
            </w:pPr>
          </w:p>
        </w:tc>
        <w:tc>
          <w:tcPr>
            <w:tcW w:w="1362" w:type="dxa"/>
            <w:tcBorders>
              <w:top w:val="single" w:color="auto" w:sz="4" w:space="0"/>
              <w:left w:val="single" w:color="auto" w:sz="4" w:space="0"/>
              <w:bottom w:val="single" w:color="auto" w:sz="4" w:space="0"/>
              <w:right w:val="single" w:color="auto" w:sz="4" w:space="0"/>
            </w:tcBorders>
            <w:vAlign w:val="center"/>
          </w:tcPr>
          <w:p>
            <w:pPr>
              <w:autoSpaceDE w:val="0"/>
              <w:spacing w:line="288" w:lineRule="auto"/>
              <w:ind w:firstLine="0" w:firstLineChars="0"/>
              <w:jc w:val="center"/>
              <w:rPr>
                <w:rFonts w:cs="Times New Roman"/>
                <w:color w:val="auto"/>
                <w:sz w:val="21"/>
                <w:szCs w:val="21"/>
              </w:rPr>
            </w:pPr>
            <w:r>
              <w:rPr>
                <w:rFonts w:ascii="宋体" w:hAnsi="宋体" w:cs="Times New Roman"/>
                <w:color w:val="auto"/>
                <w:sz w:val="21"/>
                <w:szCs w:val="21"/>
              </w:rPr>
              <w:t>下风向</w:t>
            </w:r>
            <w:r>
              <w:rPr>
                <w:rFonts w:cs="Times New Roman"/>
                <w:color w:val="auto"/>
                <w:kern w:val="0"/>
                <w:sz w:val="21"/>
                <w:szCs w:val="21"/>
              </w:rPr>
              <w:t>G</w:t>
            </w:r>
            <w:r>
              <w:rPr>
                <w:rFonts w:cs="Times New Roman"/>
                <w:color w:val="auto"/>
                <w:sz w:val="21"/>
                <w:szCs w:val="21"/>
              </w:rPr>
              <w:t>3</w:t>
            </w:r>
          </w:p>
        </w:tc>
        <w:tc>
          <w:tcPr>
            <w:tcW w:w="857"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11</w:t>
            </w:r>
          </w:p>
        </w:tc>
        <w:tc>
          <w:tcPr>
            <w:tcW w:w="857"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14</w:t>
            </w:r>
          </w:p>
        </w:tc>
        <w:tc>
          <w:tcPr>
            <w:tcW w:w="857"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13</w:t>
            </w:r>
          </w:p>
        </w:tc>
        <w:tc>
          <w:tcPr>
            <w:tcW w:w="85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16</w:t>
            </w:r>
          </w:p>
        </w:tc>
        <w:tc>
          <w:tcPr>
            <w:tcW w:w="1098"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jc w:val="center"/>
        </w:trPr>
        <w:tc>
          <w:tcPr>
            <w:tcW w:w="130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23"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kern w:val="0"/>
                <w:sz w:val="21"/>
                <w:szCs w:val="21"/>
              </w:rPr>
            </w:pPr>
          </w:p>
        </w:tc>
        <w:tc>
          <w:tcPr>
            <w:tcW w:w="1362" w:type="dxa"/>
            <w:tcBorders>
              <w:top w:val="single" w:color="auto" w:sz="4" w:space="0"/>
              <w:left w:val="single" w:color="auto" w:sz="4" w:space="0"/>
              <w:bottom w:val="single" w:color="auto" w:sz="4" w:space="0"/>
              <w:right w:val="single" w:color="auto" w:sz="4" w:space="0"/>
            </w:tcBorders>
            <w:vAlign w:val="center"/>
          </w:tcPr>
          <w:p>
            <w:pPr>
              <w:autoSpaceDE w:val="0"/>
              <w:spacing w:line="288" w:lineRule="auto"/>
              <w:ind w:firstLine="0" w:firstLineChars="0"/>
              <w:jc w:val="center"/>
              <w:rPr>
                <w:rFonts w:cs="Times New Roman"/>
                <w:color w:val="auto"/>
                <w:sz w:val="21"/>
                <w:szCs w:val="21"/>
              </w:rPr>
            </w:pPr>
            <w:r>
              <w:rPr>
                <w:rFonts w:ascii="宋体" w:hAnsi="宋体" w:cs="Times New Roman"/>
                <w:color w:val="auto"/>
                <w:sz w:val="21"/>
                <w:szCs w:val="21"/>
              </w:rPr>
              <w:t>下风向</w:t>
            </w:r>
            <w:r>
              <w:rPr>
                <w:rFonts w:cs="Times New Roman"/>
                <w:color w:val="auto"/>
                <w:kern w:val="0"/>
                <w:sz w:val="21"/>
                <w:szCs w:val="21"/>
              </w:rPr>
              <w:t>G</w:t>
            </w:r>
            <w:r>
              <w:rPr>
                <w:rFonts w:cs="Times New Roman"/>
                <w:color w:val="auto"/>
                <w:sz w:val="21"/>
                <w:szCs w:val="21"/>
              </w:rPr>
              <w:t>4</w:t>
            </w:r>
          </w:p>
        </w:tc>
        <w:tc>
          <w:tcPr>
            <w:tcW w:w="857"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13</w:t>
            </w:r>
          </w:p>
        </w:tc>
        <w:tc>
          <w:tcPr>
            <w:tcW w:w="857"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15</w:t>
            </w:r>
          </w:p>
        </w:tc>
        <w:tc>
          <w:tcPr>
            <w:tcW w:w="857"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12</w:t>
            </w:r>
          </w:p>
        </w:tc>
        <w:tc>
          <w:tcPr>
            <w:tcW w:w="85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15</w:t>
            </w:r>
          </w:p>
        </w:tc>
        <w:tc>
          <w:tcPr>
            <w:tcW w:w="1098"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jc w:val="center"/>
        </w:trPr>
        <w:tc>
          <w:tcPr>
            <w:tcW w:w="1309" w:type="dxa"/>
            <w:vMerge w:val="restart"/>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r>
              <w:rPr>
                <w:rFonts w:cs="Times New Roman"/>
                <w:color w:val="auto"/>
                <w:sz w:val="21"/>
                <w:szCs w:val="21"/>
              </w:rPr>
              <w:t>2025.12.11</w:t>
            </w:r>
          </w:p>
        </w:tc>
        <w:tc>
          <w:tcPr>
            <w:tcW w:w="1323" w:type="dxa"/>
            <w:vMerge w:val="restart"/>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p>
          <w:p>
            <w:pPr>
              <w:widowControl/>
              <w:spacing w:line="240" w:lineRule="auto"/>
              <w:ind w:firstLine="0" w:firstLineChars="0"/>
              <w:jc w:val="center"/>
              <w:rPr>
                <w:rFonts w:cs="Times New Roman"/>
                <w:color w:val="auto"/>
                <w:sz w:val="21"/>
                <w:szCs w:val="21"/>
              </w:rPr>
            </w:pPr>
            <w:r>
              <w:rPr>
                <w:rFonts w:ascii="宋体" w:hAnsi="宋体" w:cs="Times New Roman"/>
                <w:color w:val="auto"/>
                <w:sz w:val="21"/>
                <w:szCs w:val="21"/>
              </w:rPr>
              <w:t>臭气浓度</w:t>
            </w:r>
          </w:p>
          <w:p>
            <w:pPr>
              <w:widowControl/>
              <w:spacing w:line="240" w:lineRule="auto"/>
              <w:ind w:firstLine="0" w:firstLineChars="0"/>
              <w:jc w:val="center"/>
              <w:rPr>
                <w:rFonts w:cs="Times New Roman"/>
                <w:color w:val="auto"/>
                <w:sz w:val="21"/>
                <w:szCs w:val="21"/>
              </w:rPr>
            </w:pPr>
          </w:p>
        </w:tc>
        <w:tc>
          <w:tcPr>
            <w:tcW w:w="1362" w:type="dxa"/>
            <w:tcBorders>
              <w:top w:val="single" w:color="auto" w:sz="4" w:space="0"/>
              <w:left w:val="single" w:color="auto" w:sz="4" w:space="0"/>
              <w:bottom w:val="single" w:color="auto" w:sz="4" w:space="0"/>
              <w:right w:val="single" w:color="auto" w:sz="4" w:space="0"/>
            </w:tcBorders>
            <w:vAlign w:val="center"/>
          </w:tcPr>
          <w:p>
            <w:pPr>
              <w:autoSpaceDE w:val="0"/>
              <w:spacing w:line="288" w:lineRule="auto"/>
              <w:ind w:firstLine="0" w:firstLineChars="0"/>
              <w:jc w:val="center"/>
              <w:rPr>
                <w:rFonts w:cs="Times New Roman"/>
                <w:color w:val="auto"/>
                <w:sz w:val="21"/>
                <w:szCs w:val="21"/>
              </w:rPr>
            </w:pPr>
            <w:r>
              <w:rPr>
                <w:rFonts w:ascii="宋体" w:hAnsi="宋体" w:cs="Times New Roman"/>
                <w:color w:val="auto"/>
                <w:sz w:val="21"/>
                <w:szCs w:val="21"/>
              </w:rPr>
              <w:t>上风向</w:t>
            </w:r>
            <w:r>
              <w:rPr>
                <w:rFonts w:cs="Times New Roman"/>
                <w:color w:val="auto"/>
                <w:kern w:val="0"/>
                <w:sz w:val="21"/>
                <w:szCs w:val="21"/>
              </w:rPr>
              <w:t>G</w:t>
            </w:r>
            <w:r>
              <w:rPr>
                <w:rFonts w:cs="Times New Roman"/>
                <w:color w:val="auto"/>
                <w:sz w:val="21"/>
                <w:szCs w:val="21"/>
              </w:rPr>
              <w:t>1</w:t>
            </w:r>
          </w:p>
        </w:tc>
        <w:tc>
          <w:tcPr>
            <w:tcW w:w="857"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ND</w:t>
            </w:r>
          </w:p>
        </w:tc>
        <w:tc>
          <w:tcPr>
            <w:tcW w:w="857"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ND</w:t>
            </w:r>
          </w:p>
        </w:tc>
        <w:tc>
          <w:tcPr>
            <w:tcW w:w="857"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ND</w:t>
            </w:r>
          </w:p>
        </w:tc>
        <w:tc>
          <w:tcPr>
            <w:tcW w:w="85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ND</w:t>
            </w:r>
          </w:p>
        </w:tc>
        <w:tc>
          <w:tcPr>
            <w:tcW w:w="1098" w:type="dxa"/>
            <w:vMerge w:val="restart"/>
            <w:tcBorders>
              <w:top w:val="nil"/>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jc w:val="center"/>
        </w:trPr>
        <w:tc>
          <w:tcPr>
            <w:tcW w:w="130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23"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62" w:type="dxa"/>
            <w:tcBorders>
              <w:top w:val="single" w:color="auto" w:sz="4" w:space="0"/>
              <w:left w:val="single" w:color="auto" w:sz="4" w:space="0"/>
              <w:bottom w:val="single" w:color="auto" w:sz="4" w:space="0"/>
              <w:right w:val="single" w:color="auto" w:sz="4" w:space="0"/>
            </w:tcBorders>
            <w:vAlign w:val="center"/>
          </w:tcPr>
          <w:p>
            <w:pPr>
              <w:autoSpaceDE w:val="0"/>
              <w:spacing w:line="288" w:lineRule="auto"/>
              <w:ind w:firstLine="0" w:firstLineChars="0"/>
              <w:jc w:val="center"/>
              <w:rPr>
                <w:rFonts w:cs="Times New Roman"/>
                <w:color w:val="auto"/>
                <w:sz w:val="21"/>
                <w:szCs w:val="21"/>
              </w:rPr>
            </w:pPr>
            <w:r>
              <w:rPr>
                <w:rFonts w:ascii="宋体" w:hAnsi="宋体" w:cs="Times New Roman"/>
                <w:color w:val="auto"/>
                <w:sz w:val="21"/>
                <w:szCs w:val="21"/>
              </w:rPr>
              <w:t>下风向</w:t>
            </w:r>
            <w:r>
              <w:rPr>
                <w:rFonts w:cs="Times New Roman"/>
                <w:color w:val="auto"/>
                <w:kern w:val="0"/>
                <w:sz w:val="21"/>
                <w:szCs w:val="21"/>
              </w:rPr>
              <w:t>G</w:t>
            </w:r>
            <w:r>
              <w:rPr>
                <w:rFonts w:cs="Times New Roman"/>
                <w:color w:val="auto"/>
                <w:sz w:val="21"/>
                <w:szCs w:val="21"/>
              </w:rPr>
              <w:t>2</w:t>
            </w:r>
          </w:p>
        </w:tc>
        <w:tc>
          <w:tcPr>
            <w:tcW w:w="857"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11</w:t>
            </w:r>
          </w:p>
        </w:tc>
        <w:tc>
          <w:tcPr>
            <w:tcW w:w="857"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16</w:t>
            </w:r>
          </w:p>
        </w:tc>
        <w:tc>
          <w:tcPr>
            <w:tcW w:w="857"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13</w:t>
            </w:r>
          </w:p>
        </w:tc>
        <w:tc>
          <w:tcPr>
            <w:tcW w:w="85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14</w:t>
            </w:r>
          </w:p>
        </w:tc>
        <w:tc>
          <w:tcPr>
            <w:tcW w:w="1098"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jc w:val="center"/>
        </w:trPr>
        <w:tc>
          <w:tcPr>
            <w:tcW w:w="130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23"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62" w:type="dxa"/>
            <w:tcBorders>
              <w:top w:val="single" w:color="auto" w:sz="4" w:space="0"/>
              <w:left w:val="single" w:color="auto" w:sz="4" w:space="0"/>
              <w:bottom w:val="single" w:color="auto" w:sz="4" w:space="0"/>
              <w:right w:val="single" w:color="auto" w:sz="4" w:space="0"/>
            </w:tcBorders>
            <w:vAlign w:val="center"/>
          </w:tcPr>
          <w:p>
            <w:pPr>
              <w:autoSpaceDE w:val="0"/>
              <w:spacing w:line="288" w:lineRule="auto"/>
              <w:ind w:firstLine="0" w:firstLineChars="0"/>
              <w:jc w:val="center"/>
              <w:rPr>
                <w:rFonts w:cs="Times New Roman"/>
                <w:color w:val="auto"/>
                <w:sz w:val="21"/>
                <w:szCs w:val="21"/>
              </w:rPr>
            </w:pPr>
            <w:r>
              <w:rPr>
                <w:rFonts w:ascii="宋体" w:hAnsi="宋体" w:cs="Times New Roman"/>
                <w:color w:val="auto"/>
                <w:sz w:val="21"/>
                <w:szCs w:val="21"/>
              </w:rPr>
              <w:t>下风向</w:t>
            </w:r>
            <w:r>
              <w:rPr>
                <w:rFonts w:cs="Times New Roman"/>
                <w:color w:val="auto"/>
                <w:kern w:val="0"/>
                <w:sz w:val="21"/>
                <w:szCs w:val="21"/>
              </w:rPr>
              <w:t>G</w:t>
            </w:r>
            <w:r>
              <w:rPr>
                <w:rFonts w:cs="Times New Roman"/>
                <w:color w:val="auto"/>
                <w:sz w:val="21"/>
                <w:szCs w:val="21"/>
              </w:rPr>
              <w:t>3</w:t>
            </w:r>
          </w:p>
        </w:tc>
        <w:tc>
          <w:tcPr>
            <w:tcW w:w="857"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12</w:t>
            </w:r>
          </w:p>
        </w:tc>
        <w:tc>
          <w:tcPr>
            <w:tcW w:w="857"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14</w:t>
            </w:r>
          </w:p>
        </w:tc>
        <w:tc>
          <w:tcPr>
            <w:tcW w:w="857"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12</w:t>
            </w:r>
          </w:p>
        </w:tc>
        <w:tc>
          <w:tcPr>
            <w:tcW w:w="85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17</w:t>
            </w:r>
          </w:p>
        </w:tc>
        <w:tc>
          <w:tcPr>
            <w:tcW w:w="1098"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9" w:hRule="atLeast"/>
          <w:jc w:val="center"/>
        </w:trPr>
        <w:tc>
          <w:tcPr>
            <w:tcW w:w="130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23"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62" w:type="dxa"/>
            <w:tcBorders>
              <w:top w:val="single" w:color="auto" w:sz="4" w:space="0"/>
              <w:left w:val="single" w:color="auto" w:sz="4" w:space="0"/>
              <w:bottom w:val="single" w:color="auto" w:sz="4" w:space="0"/>
              <w:right w:val="single" w:color="auto" w:sz="4" w:space="0"/>
            </w:tcBorders>
            <w:vAlign w:val="center"/>
          </w:tcPr>
          <w:p>
            <w:pPr>
              <w:autoSpaceDE w:val="0"/>
              <w:spacing w:line="288" w:lineRule="auto"/>
              <w:ind w:firstLine="0" w:firstLineChars="0"/>
              <w:jc w:val="center"/>
              <w:rPr>
                <w:rFonts w:cs="Times New Roman"/>
                <w:color w:val="auto"/>
                <w:sz w:val="21"/>
                <w:szCs w:val="21"/>
              </w:rPr>
            </w:pPr>
            <w:r>
              <w:rPr>
                <w:rFonts w:ascii="宋体" w:hAnsi="宋体" w:cs="Times New Roman"/>
                <w:color w:val="auto"/>
                <w:sz w:val="21"/>
                <w:szCs w:val="21"/>
              </w:rPr>
              <w:t>下风向</w:t>
            </w:r>
            <w:r>
              <w:rPr>
                <w:rFonts w:cs="Times New Roman"/>
                <w:color w:val="auto"/>
                <w:kern w:val="0"/>
                <w:sz w:val="21"/>
                <w:szCs w:val="21"/>
              </w:rPr>
              <w:t>G</w:t>
            </w:r>
            <w:r>
              <w:rPr>
                <w:rFonts w:cs="Times New Roman"/>
                <w:color w:val="auto"/>
                <w:sz w:val="21"/>
                <w:szCs w:val="21"/>
              </w:rPr>
              <w:t>4</w:t>
            </w:r>
          </w:p>
        </w:tc>
        <w:tc>
          <w:tcPr>
            <w:tcW w:w="857"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11</w:t>
            </w:r>
          </w:p>
        </w:tc>
        <w:tc>
          <w:tcPr>
            <w:tcW w:w="857"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11</w:t>
            </w:r>
          </w:p>
        </w:tc>
        <w:tc>
          <w:tcPr>
            <w:tcW w:w="857"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17</w:t>
            </w:r>
          </w:p>
        </w:tc>
        <w:tc>
          <w:tcPr>
            <w:tcW w:w="859" w:type="dxa"/>
            <w:tcBorders>
              <w:top w:val="single" w:color="auto" w:sz="4" w:space="0"/>
              <w:left w:val="single" w:color="auto" w:sz="4" w:space="0"/>
              <w:bottom w:val="single" w:color="auto" w:sz="4" w:space="0"/>
              <w:right w:val="single" w:color="auto" w:sz="4" w:space="0"/>
            </w:tcBorders>
            <w:vAlign w:val="center"/>
          </w:tcPr>
          <w:p>
            <w:pPr>
              <w:spacing w:line="280" w:lineRule="exact"/>
              <w:ind w:firstLine="0" w:firstLineChars="0"/>
              <w:jc w:val="center"/>
              <w:rPr>
                <w:rFonts w:cs="Times New Roman"/>
                <w:color w:val="auto"/>
                <w:sz w:val="21"/>
                <w:szCs w:val="21"/>
              </w:rPr>
            </w:pPr>
            <w:r>
              <w:rPr>
                <w:rFonts w:cs="Times New Roman"/>
                <w:color w:val="auto"/>
                <w:sz w:val="21"/>
                <w:szCs w:val="21"/>
              </w:rPr>
              <w:t>18</w:t>
            </w:r>
          </w:p>
        </w:tc>
        <w:tc>
          <w:tcPr>
            <w:tcW w:w="1098"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064" w:hRule="atLeast"/>
          <w:jc w:val="center"/>
        </w:trPr>
        <w:tc>
          <w:tcPr>
            <w:tcW w:w="8522" w:type="dxa"/>
            <w:gridSpan w:val="8"/>
            <w:tcBorders>
              <w:top w:val="single" w:color="auto" w:sz="4" w:space="0"/>
              <w:left w:val="single" w:color="auto" w:sz="4" w:space="0"/>
              <w:bottom w:val="single" w:color="auto" w:sz="4" w:space="0"/>
              <w:right w:val="single" w:color="auto" w:sz="4" w:space="0"/>
            </w:tcBorders>
            <w:vAlign w:val="center"/>
          </w:tcPr>
          <w:p>
            <w:pPr>
              <w:autoSpaceDE w:val="0"/>
              <w:spacing w:line="240" w:lineRule="auto"/>
              <w:ind w:left="945" w:hanging="945" w:hangingChars="450"/>
              <w:rPr>
                <w:rFonts w:cs="Times New Roman"/>
                <w:color w:val="auto"/>
                <w:sz w:val="21"/>
                <w:szCs w:val="21"/>
              </w:rPr>
            </w:pPr>
            <w:r>
              <w:rPr>
                <w:rFonts w:ascii="宋体" w:hAnsi="宋体" w:cs="Times New Roman"/>
                <w:color w:val="auto"/>
                <w:sz w:val="21"/>
                <w:szCs w:val="21"/>
              </w:rPr>
              <w:t>备注：</w:t>
            </w:r>
            <w:r>
              <w:rPr>
                <w:rFonts w:cs="Times New Roman"/>
                <w:color w:val="auto"/>
                <w:sz w:val="21"/>
                <w:szCs w:val="21"/>
              </w:rPr>
              <w:t>1</w:t>
            </w:r>
            <w:r>
              <w:rPr>
                <w:rFonts w:ascii="宋体" w:hAnsi="宋体" w:cs="Times New Roman"/>
                <w:color w:val="auto"/>
                <w:sz w:val="21"/>
                <w:szCs w:val="21"/>
              </w:rPr>
              <w:t>、项目执行《恶臭污染物排放标准》</w:t>
            </w:r>
            <w:r>
              <w:rPr>
                <w:rFonts w:cs="Times New Roman"/>
                <w:color w:val="auto"/>
                <w:sz w:val="21"/>
                <w:szCs w:val="21"/>
              </w:rPr>
              <w:t>(GB14554-93)</w:t>
            </w:r>
            <w:r>
              <w:rPr>
                <w:rFonts w:ascii="宋体" w:hAnsi="宋体" w:cs="Times New Roman"/>
                <w:color w:val="auto"/>
                <w:sz w:val="21"/>
                <w:szCs w:val="21"/>
              </w:rPr>
              <w:t>中表</w:t>
            </w:r>
            <w:r>
              <w:rPr>
                <w:rFonts w:cs="Times New Roman"/>
                <w:color w:val="auto"/>
                <w:sz w:val="21"/>
                <w:szCs w:val="21"/>
              </w:rPr>
              <w:t>1</w:t>
            </w:r>
            <w:r>
              <w:rPr>
                <w:rFonts w:ascii="宋体" w:hAnsi="宋体" w:cs="Times New Roman"/>
                <w:color w:val="auto"/>
                <w:sz w:val="21"/>
                <w:szCs w:val="21"/>
              </w:rPr>
              <w:t>恶臭污染物厂界二级新扩改建标准</w:t>
            </w:r>
            <w:r>
              <w:rPr>
                <w:rFonts w:ascii="宋体" w:hAnsi="宋体" w:cs="Times New Roman"/>
                <w:color w:val="auto"/>
                <w:spacing w:val="5"/>
                <w:sz w:val="21"/>
                <w:szCs w:val="21"/>
              </w:rPr>
              <w:t>；</w:t>
            </w:r>
            <w:r>
              <w:rPr>
                <w:rFonts w:cs="Times New Roman"/>
                <w:color w:val="auto"/>
                <w:sz w:val="21"/>
                <w:szCs w:val="21"/>
              </w:rPr>
              <w:t xml:space="preserve"> </w:t>
            </w:r>
          </w:p>
          <w:p>
            <w:pPr>
              <w:autoSpaceDE w:val="0"/>
              <w:spacing w:line="240" w:lineRule="auto"/>
              <w:ind w:firstLine="630" w:firstLineChars="300"/>
              <w:rPr>
                <w:rFonts w:cs="Times New Roman"/>
                <w:color w:val="auto"/>
                <w:sz w:val="21"/>
                <w:szCs w:val="21"/>
              </w:rPr>
            </w:pPr>
            <w:r>
              <w:rPr>
                <w:rFonts w:cs="Times New Roman"/>
                <w:color w:val="auto"/>
                <w:sz w:val="21"/>
                <w:szCs w:val="21"/>
              </w:rPr>
              <w:t>2</w:t>
            </w:r>
            <w:r>
              <w:rPr>
                <w:rFonts w:ascii="宋体" w:hAnsi="宋体" w:cs="Times New Roman"/>
                <w:color w:val="auto"/>
                <w:sz w:val="21"/>
                <w:szCs w:val="21"/>
              </w:rPr>
              <w:t>、</w:t>
            </w:r>
            <w:r>
              <w:rPr>
                <w:rFonts w:cs="Times New Roman"/>
                <w:color w:val="auto"/>
                <w:sz w:val="21"/>
                <w:szCs w:val="21"/>
              </w:rPr>
              <w:t>ND</w:t>
            </w:r>
            <w:r>
              <w:rPr>
                <w:rFonts w:ascii="宋体" w:hAnsi="宋体" w:cs="Times New Roman"/>
                <w:color w:val="auto"/>
                <w:sz w:val="21"/>
                <w:szCs w:val="21"/>
              </w:rPr>
              <w:t>为未检出；</w:t>
            </w:r>
          </w:p>
          <w:p>
            <w:pPr>
              <w:autoSpaceDE w:val="0"/>
              <w:spacing w:line="240" w:lineRule="auto"/>
              <w:ind w:firstLine="630" w:firstLineChars="300"/>
              <w:rPr>
                <w:rFonts w:cs="Times New Roman"/>
                <w:color w:val="auto"/>
                <w:sz w:val="21"/>
                <w:szCs w:val="21"/>
              </w:rPr>
            </w:pPr>
            <w:r>
              <w:rPr>
                <w:rFonts w:cs="Times New Roman"/>
                <w:color w:val="auto"/>
                <w:sz w:val="21"/>
                <w:szCs w:val="21"/>
              </w:rPr>
              <w:t>3</w:t>
            </w:r>
            <w:r>
              <w:rPr>
                <w:rFonts w:ascii="宋体" w:hAnsi="宋体" w:cs="Times New Roman"/>
                <w:color w:val="auto"/>
                <w:sz w:val="21"/>
                <w:szCs w:val="21"/>
              </w:rPr>
              <w:t>、本报告结果只对当时采样监测结果负责。</w:t>
            </w:r>
          </w:p>
        </w:tc>
      </w:tr>
    </w:tbl>
    <w:p>
      <w:pPr>
        <w:ind w:firstLine="480"/>
        <w:rPr>
          <w:color w:val="auto"/>
        </w:rPr>
      </w:pPr>
      <w:bookmarkStart w:id="101" w:name="_Hlk217405123"/>
      <w:r>
        <w:rPr>
          <w:rFonts w:hint="eastAsia"/>
          <w:color w:val="auto"/>
        </w:rPr>
        <w:t>从上表的监测结果表明：无组织废气颗粒物排放浓度范围为：0.102~0.290mg/m</w:t>
      </w:r>
      <w:r>
        <w:rPr>
          <w:rFonts w:hint="eastAsia"/>
          <w:color w:val="auto"/>
          <w:vertAlign w:val="superscript"/>
        </w:rPr>
        <w:t>3</w:t>
      </w:r>
      <w:r>
        <w:rPr>
          <w:rFonts w:hint="eastAsia"/>
          <w:color w:val="auto"/>
        </w:rPr>
        <w:t>；锰及其化合物：不存在；镍及其化合物：不存在；二氧化硫浓度范围为：0.010~0.061mg/m</w:t>
      </w:r>
      <w:r>
        <w:rPr>
          <w:rFonts w:hint="eastAsia"/>
          <w:color w:val="auto"/>
          <w:vertAlign w:val="superscript"/>
        </w:rPr>
        <w:t>3</w:t>
      </w:r>
      <w:r>
        <w:rPr>
          <w:rFonts w:hint="eastAsia"/>
          <w:color w:val="auto"/>
        </w:rPr>
        <w:t>；氮氧化物浓度范围为：0.006~0.025mg/m</w:t>
      </w:r>
      <w:r>
        <w:rPr>
          <w:rFonts w:hint="eastAsia"/>
          <w:color w:val="auto"/>
          <w:vertAlign w:val="superscript"/>
        </w:rPr>
        <w:t>3</w:t>
      </w:r>
      <w:r>
        <w:rPr>
          <w:rFonts w:hint="eastAsia"/>
          <w:color w:val="auto"/>
        </w:rPr>
        <w:t>，非甲烷总烃浓度范围为：</w:t>
      </w:r>
      <w:bookmarkStart w:id="102" w:name="_Hlk214899402"/>
      <w:r>
        <w:rPr>
          <w:rFonts w:hint="eastAsia"/>
          <w:color w:val="auto"/>
        </w:rPr>
        <w:t>1.51~</w:t>
      </w:r>
      <w:bookmarkEnd w:id="102"/>
      <w:r>
        <w:rPr>
          <w:rFonts w:hint="eastAsia"/>
          <w:color w:val="auto"/>
        </w:rPr>
        <w:t>1.72mg/m</w:t>
      </w:r>
      <w:r>
        <w:rPr>
          <w:rFonts w:hint="eastAsia"/>
          <w:color w:val="auto"/>
          <w:vertAlign w:val="superscript"/>
        </w:rPr>
        <w:t>3</w:t>
      </w:r>
      <w:r>
        <w:rPr>
          <w:rFonts w:hint="eastAsia"/>
          <w:color w:val="auto"/>
        </w:rPr>
        <w:t>；臭气浓度：11~18（无量纲）。</w:t>
      </w:r>
    </w:p>
    <w:p>
      <w:pPr>
        <w:ind w:firstLine="480"/>
        <w:rPr>
          <w:color w:val="auto"/>
        </w:rPr>
      </w:pPr>
      <w:r>
        <w:rPr>
          <w:rFonts w:hint="eastAsia"/>
          <w:color w:val="auto"/>
        </w:rPr>
        <w:t>本项目无组织废气非甲烷总烃执行广东省《固定污染源挥发性有机物综合排放标准》(DB44/2367-2022)表3厂区内VOCs无组织排放限值；其他项目执行广东省《大气污染物排放限值》（DB44/27-2001）第二时段无组织排放监控浓度限值；臭气浓度符合</w:t>
      </w:r>
      <w:r>
        <w:rPr>
          <w:rFonts w:hint="eastAsia" w:ascii="宋体" w:hAnsi="宋体" w:cs="宋体"/>
          <w:color w:val="auto"/>
          <w:szCs w:val="24"/>
        </w:rPr>
        <w:t>《恶臭污染物排放标准》(GB14554-93)中表1恶臭污染物厂界二级新扩改建标准</w:t>
      </w:r>
      <w:r>
        <w:rPr>
          <w:rFonts w:hint="eastAsia"/>
          <w:color w:val="auto"/>
        </w:rPr>
        <w:t>。</w:t>
      </w:r>
    </w:p>
    <w:bookmarkEnd w:id="100"/>
    <w:bookmarkEnd w:id="101"/>
    <w:p>
      <w:pPr>
        <w:ind w:firstLine="482"/>
        <w:rPr>
          <w:b/>
          <w:color w:val="auto"/>
        </w:rPr>
      </w:pPr>
      <w:r>
        <w:rPr>
          <w:rFonts w:hint="eastAsia"/>
          <w:b/>
          <w:color w:val="auto"/>
        </w:rPr>
        <w:t>（2）有组织废气</w:t>
      </w:r>
    </w:p>
    <w:p>
      <w:pPr>
        <w:ind w:firstLine="480"/>
        <w:rPr>
          <w:color w:val="auto"/>
        </w:rPr>
      </w:pPr>
      <w:r>
        <w:rPr>
          <w:rFonts w:hint="eastAsia"/>
          <w:color w:val="auto"/>
        </w:rPr>
        <w:t>有组织废气监测结果如下表9.1-3：</w:t>
      </w:r>
    </w:p>
    <w:p>
      <w:pPr>
        <w:pStyle w:val="37"/>
        <w:rPr>
          <w:color w:val="auto"/>
          <w:sz w:val="2"/>
          <w:szCs w:val="2"/>
        </w:rPr>
      </w:pPr>
      <w:r>
        <w:rPr>
          <w:rFonts w:hint="eastAsia"/>
          <w:color w:val="auto"/>
        </w:rPr>
        <w:t>表 9.1</w:t>
      </w:r>
      <w:r>
        <w:rPr>
          <w:color w:val="auto"/>
        </w:rPr>
        <w:noBreakHyphen/>
      </w:r>
      <w:r>
        <w:rPr>
          <w:rFonts w:hint="eastAsia"/>
          <w:color w:val="auto"/>
        </w:rPr>
        <w:t>3</w:t>
      </w:r>
      <w:r>
        <w:rPr>
          <w:color w:val="auto"/>
        </w:rPr>
        <w:t xml:space="preserve"> </w:t>
      </w:r>
      <w:r>
        <w:rPr>
          <w:rFonts w:hint="eastAsia"/>
          <w:color w:val="auto"/>
        </w:rPr>
        <w:t>有组织废气检测结果（1）</w:t>
      </w:r>
    </w:p>
    <w:tbl>
      <w:tblPr>
        <w:tblStyle w:val="24"/>
        <w:tblW w:w="8522"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242"/>
        <w:gridCol w:w="1207"/>
        <w:gridCol w:w="948"/>
        <w:gridCol w:w="70"/>
        <w:gridCol w:w="1701"/>
        <w:gridCol w:w="70"/>
        <w:gridCol w:w="866"/>
        <w:gridCol w:w="647"/>
        <w:gridCol w:w="218"/>
        <w:gridCol w:w="868"/>
        <w:gridCol w:w="68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54" w:hRule="atLeast"/>
          <w:jc w:val="center"/>
        </w:trPr>
        <w:tc>
          <w:tcPr>
            <w:tcW w:w="8522" w:type="dxa"/>
            <w:gridSpan w:val="11"/>
            <w:tcBorders>
              <w:top w:val="single" w:color="000000" w:sz="4" w:space="0"/>
              <w:left w:val="single" w:color="000000" w:sz="4" w:space="0"/>
              <w:bottom w:val="single" w:color="auto" w:sz="4" w:space="0"/>
              <w:right w:val="single" w:color="auto" w:sz="4" w:space="0"/>
            </w:tcBorders>
            <w:vAlign w:val="center"/>
          </w:tcPr>
          <w:p>
            <w:pPr>
              <w:adjustRightInd w:val="0"/>
              <w:spacing w:line="240" w:lineRule="auto"/>
              <w:ind w:firstLine="482" w:firstLineChars="0"/>
              <w:jc w:val="center"/>
              <w:rPr>
                <w:rFonts w:cs="Times New Roman"/>
                <w:b/>
                <w:bCs/>
                <w:color w:val="auto"/>
                <w:sz w:val="21"/>
                <w:szCs w:val="21"/>
              </w:rPr>
            </w:pPr>
            <w:r>
              <w:rPr>
                <w:rFonts w:ascii="宋体" w:hAnsi="宋体" w:cs="Times New Roman"/>
                <w:b/>
                <w:bCs/>
                <w:color w:val="auto"/>
                <w:sz w:val="21"/>
                <w:szCs w:val="21"/>
              </w:rPr>
              <w:t>污染源排放参数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54" w:hRule="atLeast"/>
          <w:jc w:val="center"/>
        </w:trPr>
        <w:tc>
          <w:tcPr>
            <w:tcW w:w="3397" w:type="dxa"/>
            <w:gridSpan w:val="3"/>
            <w:tcBorders>
              <w:top w:val="single" w:color="auto" w:sz="4" w:space="0"/>
              <w:left w:val="single" w:color="000000" w:sz="4" w:space="0"/>
              <w:bottom w:val="single" w:color="auto" w:sz="4" w:space="0"/>
              <w:right w:val="single" w:color="auto" w:sz="4" w:space="0"/>
            </w:tcBorders>
            <w:vAlign w:val="center"/>
          </w:tcPr>
          <w:p>
            <w:pPr>
              <w:autoSpaceDE w:val="0"/>
              <w:spacing w:line="240" w:lineRule="auto"/>
              <w:ind w:firstLine="0" w:firstLineChars="0"/>
              <w:jc w:val="center"/>
              <w:rPr>
                <w:rFonts w:cs="Times New Roman"/>
                <w:b/>
                <w:bCs/>
                <w:color w:val="auto"/>
                <w:sz w:val="21"/>
                <w:szCs w:val="21"/>
              </w:rPr>
            </w:pPr>
            <w:r>
              <w:rPr>
                <w:rFonts w:ascii="宋体" w:hAnsi="宋体" w:cs="Times New Roman"/>
                <w:b/>
                <w:bCs/>
                <w:iCs/>
                <w:color w:val="auto"/>
                <w:sz w:val="21"/>
                <w:szCs w:val="21"/>
              </w:rPr>
              <w:t>检测点位</w:t>
            </w:r>
          </w:p>
        </w:tc>
        <w:tc>
          <w:tcPr>
            <w:tcW w:w="1771" w:type="dxa"/>
            <w:gridSpan w:val="2"/>
            <w:tcBorders>
              <w:top w:val="single" w:color="auto" w:sz="4" w:space="0"/>
              <w:left w:val="nil"/>
              <w:bottom w:val="single" w:color="auto" w:sz="4" w:space="0"/>
              <w:right w:val="single" w:color="auto" w:sz="4" w:space="0"/>
            </w:tcBorders>
            <w:vAlign w:val="center"/>
          </w:tcPr>
          <w:p>
            <w:pPr>
              <w:autoSpaceDE w:val="0"/>
              <w:spacing w:line="240" w:lineRule="auto"/>
              <w:ind w:firstLine="0" w:firstLineChars="0"/>
              <w:jc w:val="center"/>
              <w:rPr>
                <w:rFonts w:cs="Times New Roman"/>
                <w:b/>
                <w:bCs/>
                <w:color w:val="auto"/>
                <w:sz w:val="21"/>
                <w:szCs w:val="21"/>
              </w:rPr>
            </w:pPr>
            <w:r>
              <w:rPr>
                <w:rFonts w:ascii="宋体" w:hAnsi="宋体" w:cs="Times New Roman"/>
                <w:b/>
                <w:bCs/>
                <w:iCs/>
                <w:color w:val="auto"/>
                <w:sz w:val="21"/>
                <w:szCs w:val="21"/>
              </w:rPr>
              <w:t>排气筒高度（</w:t>
            </w:r>
            <w:r>
              <w:rPr>
                <w:rFonts w:cs="Times New Roman"/>
                <w:b/>
                <w:bCs/>
                <w:iCs/>
                <w:color w:val="auto"/>
                <w:sz w:val="21"/>
                <w:szCs w:val="21"/>
              </w:rPr>
              <w:t>m</w:t>
            </w:r>
            <w:r>
              <w:rPr>
                <w:rFonts w:ascii="宋体" w:hAnsi="宋体" w:cs="Times New Roman"/>
                <w:b/>
                <w:bCs/>
                <w:iCs/>
                <w:color w:val="auto"/>
                <w:sz w:val="21"/>
                <w:szCs w:val="21"/>
              </w:rPr>
              <w:t>）</w:t>
            </w:r>
          </w:p>
        </w:tc>
        <w:tc>
          <w:tcPr>
            <w:tcW w:w="1583" w:type="dxa"/>
            <w:gridSpan w:val="3"/>
            <w:tcBorders>
              <w:top w:val="single" w:color="auto" w:sz="4" w:space="0"/>
              <w:left w:val="nil"/>
              <w:bottom w:val="single" w:color="auto" w:sz="4" w:space="0"/>
              <w:right w:val="single" w:color="auto" w:sz="4" w:space="0"/>
            </w:tcBorders>
            <w:vAlign w:val="center"/>
          </w:tcPr>
          <w:p>
            <w:pPr>
              <w:autoSpaceDE w:val="0"/>
              <w:spacing w:line="240" w:lineRule="auto"/>
              <w:ind w:firstLine="0" w:firstLineChars="0"/>
              <w:jc w:val="center"/>
              <w:rPr>
                <w:rFonts w:cs="Times New Roman"/>
                <w:b/>
                <w:bCs/>
                <w:color w:val="auto"/>
                <w:sz w:val="21"/>
                <w:szCs w:val="21"/>
              </w:rPr>
            </w:pPr>
            <w:r>
              <w:rPr>
                <w:rFonts w:ascii="宋体" w:hAnsi="宋体" w:cs="Times New Roman"/>
                <w:b/>
                <w:bCs/>
                <w:iCs/>
                <w:color w:val="auto"/>
                <w:sz w:val="21"/>
                <w:szCs w:val="21"/>
              </w:rPr>
              <w:t>截面积（</w:t>
            </w:r>
            <w:r>
              <w:rPr>
                <w:rFonts w:cs="Times New Roman"/>
                <w:b/>
                <w:bCs/>
                <w:iCs/>
                <w:color w:val="auto"/>
                <w:sz w:val="21"/>
                <w:szCs w:val="21"/>
              </w:rPr>
              <w:t>m</w:t>
            </w:r>
            <w:r>
              <w:rPr>
                <w:rFonts w:cs="Times New Roman"/>
                <w:b/>
                <w:bCs/>
                <w:iCs/>
                <w:color w:val="auto"/>
                <w:sz w:val="21"/>
                <w:szCs w:val="21"/>
                <w:vertAlign w:val="superscript"/>
              </w:rPr>
              <w:t>2</w:t>
            </w:r>
            <w:r>
              <w:rPr>
                <w:rFonts w:ascii="宋体" w:hAnsi="宋体" w:cs="Times New Roman"/>
                <w:b/>
                <w:bCs/>
                <w:iCs/>
                <w:color w:val="auto"/>
                <w:sz w:val="21"/>
                <w:szCs w:val="21"/>
              </w:rPr>
              <w:t>）</w:t>
            </w:r>
          </w:p>
        </w:tc>
        <w:tc>
          <w:tcPr>
            <w:tcW w:w="1771" w:type="dxa"/>
            <w:gridSpan w:val="3"/>
            <w:tcBorders>
              <w:top w:val="single" w:color="auto" w:sz="4" w:space="0"/>
              <w:left w:val="nil"/>
              <w:bottom w:val="single" w:color="auto" w:sz="4" w:space="0"/>
              <w:right w:val="single" w:color="auto" w:sz="4" w:space="0"/>
            </w:tcBorders>
            <w:vAlign w:val="center"/>
          </w:tcPr>
          <w:p>
            <w:pPr>
              <w:autoSpaceDE w:val="0"/>
              <w:spacing w:line="240" w:lineRule="auto"/>
              <w:ind w:firstLine="0" w:firstLineChars="0"/>
              <w:jc w:val="center"/>
              <w:rPr>
                <w:rFonts w:cs="Times New Roman"/>
                <w:b/>
                <w:bCs/>
                <w:color w:val="auto"/>
                <w:sz w:val="21"/>
                <w:szCs w:val="21"/>
              </w:rPr>
            </w:pPr>
            <w:r>
              <w:rPr>
                <w:rFonts w:ascii="宋体" w:hAnsi="宋体" w:cs="Times New Roman"/>
                <w:b/>
                <w:bCs/>
                <w:iCs/>
                <w:color w:val="auto"/>
                <w:sz w:val="21"/>
                <w:szCs w:val="21"/>
              </w:rPr>
              <w:t>处理设施</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54" w:hRule="atLeast"/>
          <w:jc w:val="center"/>
        </w:trPr>
        <w:tc>
          <w:tcPr>
            <w:tcW w:w="3397" w:type="dxa"/>
            <w:gridSpan w:val="3"/>
            <w:tcBorders>
              <w:top w:val="single" w:color="auto" w:sz="4" w:space="0"/>
              <w:left w:val="single" w:color="000000" w:sz="4" w:space="0"/>
              <w:bottom w:val="single" w:color="auto" w:sz="4" w:space="0"/>
              <w:right w:val="single" w:color="auto" w:sz="4" w:space="0"/>
            </w:tcBorders>
            <w:vAlign w:val="center"/>
          </w:tcPr>
          <w:p>
            <w:pPr>
              <w:autoSpaceDE w:val="0"/>
              <w:spacing w:line="240" w:lineRule="auto"/>
              <w:ind w:firstLine="0" w:firstLineChars="0"/>
              <w:jc w:val="center"/>
              <w:rPr>
                <w:rFonts w:cs="Times New Roman"/>
                <w:color w:val="auto"/>
                <w:sz w:val="21"/>
                <w:szCs w:val="21"/>
              </w:rPr>
            </w:pPr>
            <w:r>
              <w:rPr>
                <w:rFonts w:ascii="宋体" w:hAnsi="宋体" w:cs="Times New Roman"/>
                <w:color w:val="auto"/>
                <w:sz w:val="21"/>
                <w:szCs w:val="21"/>
              </w:rPr>
              <w:t>喷粉固化废气、喷漆废气（喷漆房</w:t>
            </w:r>
            <w:r>
              <w:rPr>
                <w:rFonts w:cs="Times New Roman"/>
                <w:color w:val="auto"/>
                <w:sz w:val="21"/>
                <w:szCs w:val="21"/>
              </w:rPr>
              <w:t>1</w:t>
            </w:r>
            <w:r>
              <w:rPr>
                <w:rFonts w:ascii="宋体" w:hAnsi="宋体" w:cs="Times New Roman"/>
                <w:color w:val="auto"/>
                <w:sz w:val="21"/>
                <w:szCs w:val="21"/>
              </w:rPr>
              <w:t>）、烘干废气（烤漆炉</w:t>
            </w:r>
            <w:r>
              <w:rPr>
                <w:rFonts w:cs="Times New Roman"/>
                <w:color w:val="auto"/>
                <w:sz w:val="21"/>
                <w:szCs w:val="21"/>
              </w:rPr>
              <w:t>1</w:t>
            </w:r>
            <w:r>
              <w:rPr>
                <w:rFonts w:ascii="宋体" w:hAnsi="宋体" w:cs="Times New Roman"/>
                <w:color w:val="auto"/>
                <w:sz w:val="21"/>
                <w:szCs w:val="21"/>
              </w:rPr>
              <w:t>）、调漆废气、液化石油气燃烧废气（烤漆炉</w:t>
            </w:r>
            <w:r>
              <w:rPr>
                <w:rFonts w:cs="Times New Roman"/>
                <w:color w:val="auto"/>
                <w:sz w:val="21"/>
                <w:szCs w:val="21"/>
              </w:rPr>
              <w:t>1</w:t>
            </w:r>
            <w:r>
              <w:rPr>
                <w:rFonts w:ascii="宋体" w:hAnsi="宋体" w:cs="Times New Roman"/>
                <w:color w:val="auto"/>
                <w:sz w:val="21"/>
                <w:szCs w:val="21"/>
              </w:rPr>
              <w:t>和固化炉）、危废间废气排放口（</w:t>
            </w:r>
            <w:r>
              <w:rPr>
                <w:rFonts w:cs="Times New Roman"/>
                <w:color w:val="auto"/>
                <w:sz w:val="21"/>
                <w:szCs w:val="21"/>
              </w:rPr>
              <w:t>DA001</w:t>
            </w:r>
            <w:r>
              <w:rPr>
                <w:rFonts w:ascii="宋体" w:hAnsi="宋体" w:cs="Times New Roman"/>
                <w:color w:val="auto"/>
                <w:sz w:val="21"/>
                <w:szCs w:val="21"/>
              </w:rPr>
              <w:t>）</w:t>
            </w:r>
          </w:p>
        </w:tc>
        <w:tc>
          <w:tcPr>
            <w:tcW w:w="1771" w:type="dxa"/>
            <w:gridSpan w:val="2"/>
            <w:tcBorders>
              <w:top w:val="single" w:color="auto" w:sz="4" w:space="0"/>
              <w:left w:val="nil"/>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15</w:t>
            </w:r>
          </w:p>
        </w:tc>
        <w:tc>
          <w:tcPr>
            <w:tcW w:w="1583" w:type="dxa"/>
            <w:gridSpan w:val="3"/>
            <w:tcBorders>
              <w:top w:val="single" w:color="auto" w:sz="4" w:space="0"/>
              <w:left w:val="nil"/>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0.</w:t>
            </w:r>
            <w:r>
              <w:rPr>
                <w:rFonts w:hint="eastAsia" w:cs="Times New Roman"/>
                <w:color w:val="auto"/>
                <w:sz w:val="21"/>
                <w:szCs w:val="21"/>
              </w:rPr>
              <w:t>503</w:t>
            </w:r>
          </w:p>
        </w:tc>
        <w:tc>
          <w:tcPr>
            <w:tcW w:w="1771" w:type="dxa"/>
            <w:gridSpan w:val="3"/>
            <w:tcBorders>
              <w:top w:val="single" w:color="auto" w:sz="4" w:space="0"/>
              <w:left w:val="nil"/>
              <w:bottom w:val="single" w:color="auto"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hint="eastAsia" w:ascii="宋体" w:hAnsi="宋体" w:cs="Times New Roman"/>
                <w:color w:val="auto"/>
                <w:sz w:val="21"/>
                <w:szCs w:val="21"/>
              </w:rPr>
              <w:t>水喷淋</w:t>
            </w:r>
            <w:r>
              <w:rPr>
                <w:rFonts w:hint="eastAsia" w:cs="Times New Roman"/>
                <w:color w:val="auto"/>
                <w:sz w:val="21"/>
                <w:szCs w:val="21"/>
              </w:rPr>
              <w:t>+</w:t>
            </w:r>
            <w:r>
              <w:rPr>
                <w:rFonts w:hint="eastAsia" w:ascii="宋体" w:hAnsi="宋体" w:cs="Times New Roman"/>
                <w:color w:val="auto"/>
                <w:sz w:val="21"/>
                <w:szCs w:val="21"/>
              </w:rPr>
              <w:t>活性炭吸附</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85" w:hRule="atLeast"/>
          <w:jc w:val="center"/>
        </w:trPr>
        <w:tc>
          <w:tcPr>
            <w:tcW w:w="8522" w:type="dxa"/>
            <w:gridSpan w:val="11"/>
            <w:tcBorders>
              <w:top w:val="single" w:color="auto" w:sz="4" w:space="0"/>
              <w:left w:val="single" w:color="000000" w:sz="4" w:space="0"/>
              <w:bottom w:val="single" w:color="auto" w:sz="4" w:space="0"/>
              <w:right w:val="single" w:color="auto" w:sz="4" w:space="0"/>
            </w:tcBorders>
            <w:vAlign w:val="center"/>
          </w:tcPr>
          <w:p>
            <w:pPr>
              <w:adjustRightInd w:val="0"/>
              <w:spacing w:line="240" w:lineRule="auto"/>
              <w:ind w:firstLine="0" w:firstLineChars="0"/>
              <w:jc w:val="center"/>
              <w:rPr>
                <w:rFonts w:cs="Times New Roman"/>
                <w:b/>
                <w:bCs/>
                <w:color w:val="auto"/>
                <w:sz w:val="21"/>
                <w:szCs w:val="21"/>
              </w:rPr>
            </w:pPr>
            <w:r>
              <w:rPr>
                <w:rFonts w:ascii="宋体" w:hAnsi="宋体" w:cs="Times New Roman"/>
                <w:b/>
                <w:bCs/>
                <w:color w:val="auto"/>
                <w:sz w:val="21"/>
                <w:szCs w:val="21"/>
              </w:rPr>
              <w:t>项目检测结果</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7" w:hRule="atLeast"/>
          <w:jc w:val="center"/>
        </w:trPr>
        <w:tc>
          <w:tcPr>
            <w:tcW w:w="1242" w:type="dxa"/>
            <w:vMerge w:val="restart"/>
            <w:tcBorders>
              <w:top w:val="nil"/>
              <w:left w:val="single" w:color="000000" w:sz="4" w:space="0"/>
              <w:bottom w:val="single" w:color="000000" w:sz="4" w:space="0"/>
              <w:right w:val="single" w:color="auto" w:sz="4" w:space="0"/>
            </w:tcBorders>
            <w:vAlign w:val="center"/>
          </w:tcPr>
          <w:p>
            <w:pPr>
              <w:autoSpaceDE w:val="0"/>
              <w:spacing w:line="240" w:lineRule="auto"/>
              <w:ind w:firstLine="0" w:firstLineChars="0"/>
              <w:jc w:val="center"/>
              <w:rPr>
                <w:rFonts w:cs="Times New Roman"/>
                <w:b/>
                <w:bCs/>
                <w:color w:val="auto"/>
                <w:sz w:val="21"/>
                <w:szCs w:val="21"/>
              </w:rPr>
            </w:pPr>
            <w:r>
              <w:rPr>
                <w:rFonts w:ascii="宋体" w:hAnsi="宋体" w:cs="Times New Roman"/>
                <w:b/>
                <w:bCs/>
                <w:color w:val="auto"/>
                <w:sz w:val="21"/>
                <w:szCs w:val="21"/>
              </w:rPr>
              <w:t>检测时间</w:t>
            </w:r>
          </w:p>
        </w:tc>
        <w:tc>
          <w:tcPr>
            <w:tcW w:w="1207" w:type="dxa"/>
            <w:vMerge w:val="restart"/>
            <w:tcBorders>
              <w:top w:val="single" w:color="auto" w:sz="4" w:space="0"/>
              <w:left w:val="nil"/>
              <w:bottom w:val="single" w:color="000000" w:sz="4" w:space="0"/>
              <w:right w:val="single" w:color="auto" w:sz="4" w:space="0"/>
            </w:tcBorders>
            <w:vAlign w:val="center"/>
          </w:tcPr>
          <w:p>
            <w:pPr>
              <w:spacing w:line="240" w:lineRule="auto"/>
              <w:ind w:firstLine="0" w:firstLineChars="0"/>
              <w:jc w:val="center"/>
              <w:rPr>
                <w:rFonts w:cs="Times New Roman"/>
                <w:b/>
                <w:bCs/>
                <w:color w:val="auto"/>
                <w:sz w:val="21"/>
                <w:szCs w:val="21"/>
              </w:rPr>
            </w:pPr>
            <w:r>
              <w:rPr>
                <w:rFonts w:ascii="宋体" w:hAnsi="宋体" w:cs="Times New Roman"/>
                <w:b/>
                <w:bCs/>
                <w:color w:val="auto"/>
                <w:sz w:val="21"/>
                <w:szCs w:val="21"/>
              </w:rPr>
              <w:t>检测点位</w:t>
            </w:r>
          </w:p>
        </w:tc>
        <w:tc>
          <w:tcPr>
            <w:tcW w:w="2789" w:type="dxa"/>
            <w:gridSpan w:val="4"/>
            <w:vMerge w:val="restart"/>
            <w:tcBorders>
              <w:top w:val="single" w:color="auto" w:sz="4" w:space="0"/>
              <w:left w:val="nil"/>
              <w:bottom w:val="single" w:color="000000" w:sz="4" w:space="0"/>
              <w:right w:val="single" w:color="auto" w:sz="4" w:space="0"/>
            </w:tcBorders>
            <w:vAlign w:val="center"/>
          </w:tcPr>
          <w:p>
            <w:pPr>
              <w:spacing w:line="240" w:lineRule="auto"/>
              <w:ind w:firstLine="0" w:firstLineChars="0"/>
              <w:jc w:val="center"/>
              <w:rPr>
                <w:rFonts w:cs="Times New Roman"/>
                <w:b/>
                <w:bCs/>
                <w:color w:val="auto"/>
                <w:sz w:val="21"/>
                <w:szCs w:val="21"/>
              </w:rPr>
            </w:pPr>
            <w:r>
              <w:rPr>
                <w:rFonts w:ascii="宋体" w:hAnsi="宋体" w:cs="Times New Roman"/>
                <w:b/>
                <w:bCs/>
                <w:color w:val="auto"/>
                <w:sz w:val="21"/>
                <w:szCs w:val="21"/>
              </w:rPr>
              <w:t>检测项目</w:t>
            </w:r>
          </w:p>
        </w:tc>
        <w:tc>
          <w:tcPr>
            <w:tcW w:w="2599" w:type="dxa"/>
            <w:gridSpan w:val="4"/>
            <w:tcBorders>
              <w:top w:val="single" w:color="auto" w:sz="4" w:space="0"/>
              <w:left w:val="nil"/>
              <w:bottom w:val="single" w:color="000000" w:sz="4" w:space="0"/>
              <w:right w:val="single" w:color="auto" w:sz="4" w:space="0"/>
            </w:tcBorders>
            <w:vAlign w:val="center"/>
          </w:tcPr>
          <w:p>
            <w:pPr>
              <w:autoSpaceDE w:val="0"/>
              <w:spacing w:line="240" w:lineRule="auto"/>
              <w:ind w:firstLine="0" w:firstLineChars="0"/>
              <w:jc w:val="center"/>
              <w:rPr>
                <w:rFonts w:cs="Times New Roman"/>
                <w:b/>
                <w:color w:val="auto"/>
                <w:sz w:val="21"/>
                <w:szCs w:val="21"/>
              </w:rPr>
            </w:pPr>
            <w:r>
              <w:rPr>
                <w:rFonts w:ascii="宋体" w:hAnsi="宋体" w:cs="Times New Roman"/>
                <w:b/>
                <w:color w:val="auto"/>
                <w:sz w:val="21"/>
                <w:szCs w:val="21"/>
              </w:rPr>
              <w:t>检测结果</w:t>
            </w:r>
          </w:p>
        </w:tc>
        <w:tc>
          <w:tcPr>
            <w:tcW w:w="685" w:type="dxa"/>
            <w:vMerge w:val="restart"/>
            <w:tcBorders>
              <w:top w:val="single" w:color="auto" w:sz="4" w:space="0"/>
              <w:left w:val="nil"/>
              <w:bottom w:val="single" w:color="000000" w:sz="4" w:space="0"/>
              <w:right w:val="single" w:color="auto" w:sz="4" w:space="0"/>
            </w:tcBorders>
            <w:vAlign w:val="center"/>
          </w:tcPr>
          <w:p>
            <w:pPr>
              <w:spacing w:line="240" w:lineRule="auto"/>
              <w:ind w:firstLine="0" w:firstLineChars="0"/>
              <w:jc w:val="center"/>
              <w:rPr>
                <w:rFonts w:cs="Times New Roman"/>
                <w:b/>
                <w:bCs/>
                <w:color w:val="auto"/>
                <w:sz w:val="21"/>
                <w:szCs w:val="21"/>
              </w:rPr>
            </w:pPr>
            <w:r>
              <w:rPr>
                <w:rFonts w:ascii="宋体" w:hAnsi="宋体" w:cs="Times New Roman"/>
                <w:b/>
                <w:bCs/>
                <w:color w:val="auto"/>
                <w:sz w:val="21"/>
                <w:szCs w:val="21"/>
              </w:rPr>
              <w:t>浓度</w:t>
            </w:r>
          </w:p>
          <w:p>
            <w:pPr>
              <w:spacing w:line="240" w:lineRule="auto"/>
              <w:ind w:firstLine="0" w:firstLineChars="0"/>
              <w:jc w:val="center"/>
              <w:rPr>
                <w:rFonts w:cs="Times New Roman"/>
                <w:b/>
                <w:bCs/>
                <w:color w:val="auto"/>
                <w:sz w:val="21"/>
                <w:szCs w:val="21"/>
              </w:rPr>
            </w:pPr>
            <w:r>
              <w:rPr>
                <w:rFonts w:ascii="宋体" w:hAnsi="宋体" w:cs="Times New Roman"/>
                <w:b/>
                <w:bCs/>
                <w:color w:val="auto"/>
                <w:sz w:val="21"/>
                <w:szCs w:val="21"/>
              </w:rPr>
              <w:t>限值</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7" w:hRule="atLeast"/>
          <w:jc w:val="center"/>
        </w:trPr>
        <w:tc>
          <w:tcPr>
            <w:tcW w:w="1242"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b/>
                <w:bCs/>
                <w:color w:val="auto"/>
                <w:sz w:val="21"/>
                <w:szCs w:val="21"/>
              </w:rPr>
            </w:pPr>
          </w:p>
        </w:tc>
        <w:tc>
          <w:tcPr>
            <w:tcW w:w="1207" w:type="dxa"/>
            <w:vMerge w:val="continue"/>
            <w:tcBorders>
              <w:top w:val="single" w:color="auto" w:sz="4" w:space="0"/>
              <w:left w:val="nil"/>
              <w:bottom w:val="single" w:color="000000" w:sz="4" w:space="0"/>
              <w:right w:val="single" w:color="auto" w:sz="4" w:space="0"/>
            </w:tcBorders>
            <w:vAlign w:val="center"/>
          </w:tcPr>
          <w:p>
            <w:pPr>
              <w:widowControl/>
              <w:spacing w:line="240" w:lineRule="auto"/>
              <w:ind w:firstLine="0" w:firstLineChars="0"/>
              <w:jc w:val="left"/>
              <w:rPr>
                <w:rFonts w:cs="Times New Roman"/>
                <w:b/>
                <w:bCs/>
                <w:color w:val="auto"/>
                <w:sz w:val="21"/>
                <w:szCs w:val="21"/>
              </w:rPr>
            </w:pPr>
          </w:p>
        </w:tc>
        <w:tc>
          <w:tcPr>
            <w:tcW w:w="2789" w:type="dxa"/>
            <w:gridSpan w:val="4"/>
            <w:vMerge w:val="continue"/>
            <w:tcBorders>
              <w:top w:val="single" w:color="auto" w:sz="4" w:space="0"/>
              <w:left w:val="nil"/>
              <w:bottom w:val="single" w:color="000000" w:sz="4" w:space="0"/>
              <w:right w:val="single" w:color="auto" w:sz="4" w:space="0"/>
            </w:tcBorders>
            <w:vAlign w:val="center"/>
          </w:tcPr>
          <w:p>
            <w:pPr>
              <w:widowControl/>
              <w:spacing w:line="240" w:lineRule="auto"/>
              <w:ind w:firstLine="0" w:firstLineChars="0"/>
              <w:jc w:val="left"/>
              <w:rPr>
                <w:rFonts w:cs="Times New Roman"/>
                <w:b/>
                <w:bCs/>
                <w:color w:val="auto"/>
                <w:sz w:val="21"/>
                <w:szCs w:val="21"/>
              </w:rPr>
            </w:pPr>
          </w:p>
        </w:tc>
        <w:tc>
          <w:tcPr>
            <w:tcW w:w="866" w:type="dxa"/>
            <w:tcBorders>
              <w:top w:val="single" w:color="auto" w:sz="4" w:space="0"/>
              <w:left w:val="nil"/>
              <w:bottom w:val="single" w:color="000000" w:sz="4" w:space="0"/>
              <w:right w:val="single" w:color="auto" w:sz="4" w:space="0"/>
            </w:tcBorders>
            <w:vAlign w:val="center"/>
          </w:tcPr>
          <w:p>
            <w:pPr>
              <w:autoSpaceDE w:val="0"/>
              <w:spacing w:line="240" w:lineRule="auto"/>
              <w:ind w:firstLine="0" w:firstLineChars="0"/>
              <w:jc w:val="center"/>
              <w:rPr>
                <w:rFonts w:cs="Times New Roman"/>
                <w:b/>
                <w:color w:val="auto"/>
                <w:sz w:val="21"/>
                <w:szCs w:val="21"/>
              </w:rPr>
            </w:pPr>
            <w:r>
              <w:rPr>
                <w:rFonts w:ascii="宋体" w:hAnsi="宋体" w:cs="Times New Roman"/>
                <w:b/>
                <w:color w:val="auto"/>
                <w:sz w:val="21"/>
                <w:szCs w:val="21"/>
              </w:rPr>
              <w:t>第</w:t>
            </w:r>
            <w:r>
              <w:rPr>
                <w:rFonts w:cs="Times New Roman"/>
                <w:b/>
                <w:color w:val="auto"/>
                <w:sz w:val="21"/>
                <w:szCs w:val="21"/>
              </w:rPr>
              <w:t>1</w:t>
            </w:r>
            <w:r>
              <w:rPr>
                <w:rFonts w:ascii="宋体" w:hAnsi="宋体" w:cs="Times New Roman"/>
                <w:b/>
                <w:color w:val="auto"/>
                <w:sz w:val="21"/>
                <w:szCs w:val="21"/>
              </w:rPr>
              <w:t>次</w:t>
            </w:r>
          </w:p>
        </w:tc>
        <w:tc>
          <w:tcPr>
            <w:tcW w:w="865" w:type="dxa"/>
            <w:gridSpan w:val="2"/>
            <w:tcBorders>
              <w:top w:val="single" w:color="auto" w:sz="4" w:space="0"/>
              <w:left w:val="nil"/>
              <w:bottom w:val="single" w:color="000000" w:sz="4" w:space="0"/>
              <w:right w:val="single" w:color="auto" w:sz="4" w:space="0"/>
            </w:tcBorders>
            <w:vAlign w:val="center"/>
          </w:tcPr>
          <w:p>
            <w:pPr>
              <w:autoSpaceDE w:val="0"/>
              <w:spacing w:line="240" w:lineRule="auto"/>
              <w:ind w:firstLine="0" w:firstLineChars="0"/>
              <w:jc w:val="center"/>
              <w:rPr>
                <w:rFonts w:cs="Times New Roman"/>
                <w:b/>
                <w:color w:val="auto"/>
                <w:sz w:val="21"/>
                <w:szCs w:val="21"/>
              </w:rPr>
            </w:pPr>
            <w:r>
              <w:rPr>
                <w:rFonts w:ascii="宋体" w:hAnsi="宋体" w:cs="Times New Roman"/>
                <w:b/>
                <w:color w:val="auto"/>
                <w:sz w:val="21"/>
                <w:szCs w:val="21"/>
              </w:rPr>
              <w:t>第</w:t>
            </w:r>
            <w:r>
              <w:rPr>
                <w:rFonts w:cs="Times New Roman"/>
                <w:b/>
                <w:color w:val="auto"/>
                <w:sz w:val="21"/>
                <w:szCs w:val="21"/>
              </w:rPr>
              <w:t>2</w:t>
            </w:r>
            <w:r>
              <w:rPr>
                <w:rFonts w:ascii="宋体" w:hAnsi="宋体" w:cs="Times New Roman"/>
                <w:b/>
                <w:color w:val="auto"/>
                <w:sz w:val="21"/>
                <w:szCs w:val="21"/>
              </w:rPr>
              <w:t>次</w:t>
            </w:r>
          </w:p>
        </w:tc>
        <w:tc>
          <w:tcPr>
            <w:tcW w:w="868" w:type="dxa"/>
            <w:tcBorders>
              <w:top w:val="single" w:color="auto" w:sz="4" w:space="0"/>
              <w:left w:val="nil"/>
              <w:bottom w:val="single" w:color="000000" w:sz="4" w:space="0"/>
              <w:right w:val="single" w:color="auto" w:sz="4" w:space="0"/>
            </w:tcBorders>
            <w:vAlign w:val="center"/>
          </w:tcPr>
          <w:p>
            <w:pPr>
              <w:autoSpaceDE w:val="0"/>
              <w:spacing w:line="240" w:lineRule="auto"/>
              <w:ind w:firstLine="0" w:firstLineChars="0"/>
              <w:jc w:val="center"/>
              <w:rPr>
                <w:rFonts w:cs="Times New Roman"/>
                <w:b/>
                <w:color w:val="auto"/>
                <w:sz w:val="21"/>
                <w:szCs w:val="21"/>
              </w:rPr>
            </w:pPr>
            <w:r>
              <w:rPr>
                <w:rFonts w:ascii="宋体" w:hAnsi="宋体" w:cs="Times New Roman"/>
                <w:b/>
                <w:color w:val="auto"/>
                <w:sz w:val="21"/>
                <w:szCs w:val="21"/>
              </w:rPr>
              <w:t>第</w:t>
            </w:r>
            <w:r>
              <w:rPr>
                <w:rFonts w:cs="Times New Roman"/>
                <w:b/>
                <w:color w:val="auto"/>
                <w:sz w:val="21"/>
                <w:szCs w:val="21"/>
              </w:rPr>
              <w:t>3</w:t>
            </w:r>
            <w:r>
              <w:rPr>
                <w:rFonts w:ascii="宋体" w:hAnsi="宋体" w:cs="Times New Roman"/>
                <w:b/>
                <w:color w:val="auto"/>
                <w:sz w:val="21"/>
                <w:szCs w:val="21"/>
              </w:rPr>
              <w:t>次</w:t>
            </w:r>
          </w:p>
        </w:tc>
        <w:tc>
          <w:tcPr>
            <w:tcW w:w="685" w:type="dxa"/>
            <w:vMerge w:val="continue"/>
            <w:tcBorders>
              <w:top w:val="single" w:color="auto" w:sz="4" w:space="0"/>
              <w:left w:val="nil"/>
              <w:bottom w:val="single" w:color="000000" w:sz="4" w:space="0"/>
              <w:right w:val="single" w:color="auto" w:sz="4" w:space="0"/>
            </w:tcBorders>
            <w:vAlign w:val="center"/>
          </w:tcPr>
          <w:p>
            <w:pPr>
              <w:widowControl/>
              <w:spacing w:line="240" w:lineRule="auto"/>
              <w:ind w:firstLine="0" w:firstLineChars="0"/>
              <w:jc w:val="left"/>
              <w:rPr>
                <w:rFonts w:cs="Times New Roman"/>
                <w:b/>
                <w:bCs/>
                <w:color w:val="auto"/>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242" w:type="dxa"/>
            <w:vMerge w:val="restart"/>
            <w:tcBorders>
              <w:top w:val="nil"/>
              <w:left w:val="single" w:color="000000" w:sz="4" w:space="0"/>
              <w:bottom w:val="single" w:color="000000"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cs="Times New Roman"/>
                <w:color w:val="auto"/>
                <w:sz w:val="21"/>
                <w:szCs w:val="21"/>
              </w:rPr>
              <w:t>2025.12.10</w:t>
            </w:r>
          </w:p>
        </w:tc>
        <w:tc>
          <w:tcPr>
            <w:tcW w:w="1207" w:type="dxa"/>
            <w:vMerge w:val="restart"/>
            <w:tcBorders>
              <w:top w:val="nil"/>
              <w:left w:val="nil"/>
              <w:bottom w:val="single" w:color="000000"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ascii="宋体" w:hAnsi="宋体" w:cs="Times New Roman"/>
                <w:color w:val="auto"/>
                <w:sz w:val="21"/>
                <w:szCs w:val="21"/>
              </w:rPr>
              <w:t>喷粉固化废气、喷漆废气（喷漆房</w:t>
            </w:r>
            <w:r>
              <w:rPr>
                <w:rFonts w:cs="Times New Roman"/>
                <w:color w:val="auto"/>
                <w:sz w:val="21"/>
                <w:szCs w:val="21"/>
              </w:rPr>
              <w:t>1</w:t>
            </w:r>
            <w:r>
              <w:rPr>
                <w:rFonts w:ascii="宋体" w:hAnsi="宋体" w:cs="Times New Roman"/>
                <w:color w:val="auto"/>
                <w:sz w:val="21"/>
                <w:szCs w:val="21"/>
              </w:rPr>
              <w:t>）、烘干废气（烤漆炉</w:t>
            </w:r>
            <w:r>
              <w:rPr>
                <w:rFonts w:cs="Times New Roman"/>
                <w:color w:val="auto"/>
                <w:sz w:val="21"/>
                <w:szCs w:val="21"/>
              </w:rPr>
              <w:t>1</w:t>
            </w:r>
            <w:r>
              <w:rPr>
                <w:rFonts w:ascii="宋体" w:hAnsi="宋体" w:cs="Times New Roman"/>
                <w:color w:val="auto"/>
                <w:sz w:val="21"/>
                <w:szCs w:val="21"/>
              </w:rPr>
              <w:t>）、调漆废气、液化石油气燃烧废气（烤漆炉</w:t>
            </w:r>
            <w:r>
              <w:rPr>
                <w:rFonts w:cs="Times New Roman"/>
                <w:color w:val="auto"/>
                <w:sz w:val="21"/>
                <w:szCs w:val="21"/>
              </w:rPr>
              <w:t>1</w:t>
            </w:r>
            <w:r>
              <w:rPr>
                <w:rFonts w:ascii="宋体" w:hAnsi="宋体" w:cs="Times New Roman"/>
                <w:color w:val="auto"/>
                <w:sz w:val="21"/>
                <w:szCs w:val="21"/>
              </w:rPr>
              <w:t>和固化炉）、危废间废气排放口（</w:t>
            </w:r>
            <w:r>
              <w:rPr>
                <w:rFonts w:cs="Times New Roman"/>
                <w:color w:val="auto"/>
                <w:sz w:val="21"/>
                <w:szCs w:val="21"/>
              </w:rPr>
              <w:t>DA001</w:t>
            </w:r>
            <w:r>
              <w:rPr>
                <w:rFonts w:ascii="宋体" w:hAnsi="宋体" w:cs="Times New Roman"/>
                <w:color w:val="auto"/>
                <w:sz w:val="21"/>
                <w:szCs w:val="21"/>
              </w:rPr>
              <w:t>）</w:t>
            </w:r>
          </w:p>
        </w:tc>
        <w:tc>
          <w:tcPr>
            <w:tcW w:w="1018" w:type="dxa"/>
            <w:gridSpan w:val="2"/>
            <w:vMerge w:val="restart"/>
            <w:tcBorders>
              <w:top w:val="nil"/>
              <w:left w:val="nil"/>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ascii="宋体" w:hAnsi="宋体" w:cs="Times New Roman"/>
                <w:color w:val="auto"/>
                <w:kern w:val="0"/>
                <w:sz w:val="21"/>
                <w:szCs w:val="21"/>
              </w:rPr>
              <w:t>总</w:t>
            </w:r>
            <w:r>
              <w:rPr>
                <w:rFonts w:cs="Times New Roman"/>
                <w:color w:val="auto"/>
                <w:kern w:val="0"/>
                <w:sz w:val="21"/>
                <w:szCs w:val="21"/>
              </w:rPr>
              <w:t>VOCs</w:t>
            </w:r>
          </w:p>
        </w:tc>
        <w:tc>
          <w:tcPr>
            <w:tcW w:w="1771" w:type="dxa"/>
            <w:gridSpan w:val="2"/>
            <w:tcBorders>
              <w:top w:val="single" w:color="000000" w:sz="4" w:space="0"/>
              <w:left w:val="nil"/>
              <w:bottom w:val="single" w:color="000000"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ascii="宋体" w:hAnsi="宋体" w:cs="Times New Roman"/>
                <w:color w:val="auto"/>
                <w:sz w:val="21"/>
                <w:szCs w:val="21"/>
              </w:rPr>
              <w:t>实测浓度（</w:t>
            </w:r>
            <w:r>
              <w:rPr>
                <w:rFonts w:cs="Times New Roman"/>
                <w:color w:val="auto"/>
                <w:sz w:val="21"/>
                <w:szCs w:val="21"/>
              </w:rPr>
              <w:t>mg/m</w:t>
            </w:r>
            <w:r>
              <w:rPr>
                <w:rFonts w:cs="Times New Roman"/>
                <w:color w:val="auto"/>
                <w:sz w:val="21"/>
                <w:szCs w:val="21"/>
                <w:vertAlign w:val="superscript"/>
              </w:rPr>
              <w:t>3</w:t>
            </w:r>
            <w:r>
              <w:rPr>
                <w:rFonts w:ascii="宋体" w:hAnsi="宋体" w:cs="Times New Roman"/>
                <w:color w:val="auto"/>
                <w:sz w:val="21"/>
                <w:szCs w:val="21"/>
              </w:rPr>
              <w:t>）</w:t>
            </w:r>
          </w:p>
        </w:tc>
        <w:tc>
          <w:tcPr>
            <w:tcW w:w="866" w:type="dxa"/>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1.51 </w:t>
            </w:r>
          </w:p>
        </w:tc>
        <w:tc>
          <w:tcPr>
            <w:tcW w:w="865" w:type="dxa"/>
            <w:gridSpan w:val="2"/>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1.08 </w:t>
            </w:r>
          </w:p>
        </w:tc>
        <w:tc>
          <w:tcPr>
            <w:tcW w:w="868" w:type="dxa"/>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1.30 </w:t>
            </w:r>
          </w:p>
        </w:tc>
        <w:tc>
          <w:tcPr>
            <w:tcW w:w="685" w:type="dxa"/>
            <w:tcBorders>
              <w:top w:val="single" w:color="000000" w:sz="4" w:space="0"/>
              <w:left w:val="nil"/>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100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242"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207" w:type="dxa"/>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018" w:type="dxa"/>
            <w:gridSpan w:val="2"/>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771" w:type="dxa"/>
            <w:gridSpan w:val="2"/>
            <w:tcBorders>
              <w:top w:val="single" w:color="000000" w:sz="4" w:space="0"/>
              <w:left w:val="nil"/>
              <w:bottom w:val="single" w:color="000000" w:sz="4" w:space="0"/>
              <w:right w:val="single" w:color="auto" w:sz="4" w:space="0"/>
            </w:tcBorders>
            <w:vAlign w:val="center"/>
          </w:tcPr>
          <w:p>
            <w:pPr>
              <w:autoSpaceDE w:val="0"/>
              <w:adjustRightInd w:val="0"/>
              <w:spacing w:line="240" w:lineRule="auto"/>
              <w:ind w:firstLine="0" w:firstLineChars="0"/>
              <w:jc w:val="left"/>
              <w:rPr>
                <w:rFonts w:cs="Times New Roman"/>
                <w:iCs/>
                <w:color w:val="auto"/>
                <w:kern w:val="0"/>
                <w:sz w:val="21"/>
                <w:szCs w:val="21"/>
              </w:rPr>
            </w:pPr>
            <w:r>
              <w:rPr>
                <w:rFonts w:ascii="宋体" w:hAnsi="宋体" w:cs="Times New Roman"/>
                <w:iCs/>
                <w:color w:val="auto"/>
                <w:kern w:val="0"/>
                <w:sz w:val="21"/>
                <w:szCs w:val="21"/>
              </w:rPr>
              <w:t>排放速率（</w:t>
            </w:r>
            <w:r>
              <w:rPr>
                <w:rFonts w:cs="Times New Roman"/>
                <w:iCs/>
                <w:color w:val="auto"/>
                <w:kern w:val="0"/>
                <w:sz w:val="21"/>
                <w:szCs w:val="21"/>
              </w:rPr>
              <w:t>kg/h</w:t>
            </w:r>
            <w:r>
              <w:rPr>
                <w:rFonts w:ascii="宋体" w:hAnsi="宋体" w:cs="Times New Roman"/>
                <w:iCs/>
                <w:color w:val="auto"/>
                <w:kern w:val="0"/>
                <w:sz w:val="21"/>
                <w:szCs w:val="21"/>
              </w:rPr>
              <w:t>）</w:t>
            </w:r>
          </w:p>
        </w:tc>
        <w:tc>
          <w:tcPr>
            <w:tcW w:w="866" w:type="dxa"/>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0.047 </w:t>
            </w:r>
          </w:p>
        </w:tc>
        <w:tc>
          <w:tcPr>
            <w:tcW w:w="865" w:type="dxa"/>
            <w:gridSpan w:val="2"/>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0.034 </w:t>
            </w:r>
          </w:p>
        </w:tc>
        <w:tc>
          <w:tcPr>
            <w:tcW w:w="868" w:type="dxa"/>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0.041 </w:t>
            </w:r>
          </w:p>
        </w:tc>
        <w:tc>
          <w:tcPr>
            <w:tcW w:w="685" w:type="dxa"/>
            <w:tcBorders>
              <w:top w:val="single" w:color="000000" w:sz="4" w:space="0"/>
              <w:left w:val="nil"/>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242"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207" w:type="dxa"/>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018" w:type="dxa"/>
            <w:gridSpan w:val="2"/>
            <w:vMerge w:val="restart"/>
            <w:tcBorders>
              <w:top w:val="nil"/>
              <w:left w:val="nil"/>
              <w:bottom w:val="single" w:color="000000" w:sz="4" w:space="0"/>
              <w:right w:val="single" w:color="auto" w:sz="4" w:space="0"/>
            </w:tcBorders>
            <w:vAlign w:val="center"/>
          </w:tcPr>
          <w:p>
            <w:pPr>
              <w:autoSpaceDE w:val="0"/>
              <w:spacing w:line="240" w:lineRule="auto"/>
              <w:ind w:firstLine="0" w:firstLineChars="0"/>
              <w:jc w:val="center"/>
              <w:rPr>
                <w:rFonts w:cs="Times New Roman"/>
                <w:iCs/>
                <w:color w:val="auto"/>
                <w:kern w:val="0"/>
                <w:sz w:val="21"/>
                <w:szCs w:val="21"/>
              </w:rPr>
            </w:pPr>
            <w:r>
              <w:rPr>
                <w:rFonts w:ascii="宋体" w:hAnsi="宋体" w:cs="Times New Roman"/>
                <w:color w:val="auto"/>
                <w:kern w:val="0"/>
                <w:sz w:val="21"/>
                <w:szCs w:val="21"/>
              </w:rPr>
              <w:t>二甲苯</w:t>
            </w:r>
          </w:p>
        </w:tc>
        <w:tc>
          <w:tcPr>
            <w:tcW w:w="1771" w:type="dxa"/>
            <w:gridSpan w:val="2"/>
            <w:tcBorders>
              <w:top w:val="single" w:color="000000" w:sz="4" w:space="0"/>
              <w:left w:val="nil"/>
              <w:bottom w:val="single" w:color="000000"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ascii="宋体" w:hAnsi="宋体" w:cs="Times New Roman"/>
                <w:color w:val="auto"/>
                <w:sz w:val="21"/>
                <w:szCs w:val="21"/>
              </w:rPr>
              <w:t>实测浓度（</w:t>
            </w:r>
            <w:r>
              <w:rPr>
                <w:rFonts w:cs="Times New Roman"/>
                <w:color w:val="auto"/>
                <w:sz w:val="21"/>
                <w:szCs w:val="21"/>
              </w:rPr>
              <w:t>mg/m</w:t>
            </w:r>
            <w:r>
              <w:rPr>
                <w:rFonts w:cs="Times New Roman"/>
                <w:color w:val="auto"/>
                <w:sz w:val="21"/>
                <w:szCs w:val="21"/>
                <w:vertAlign w:val="superscript"/>
              </w:rPr>
              <w:t>3</w:t>
            </w:r>
            <w:r>
              <w:rPr>
                <w:rFonts w:ascii="宋体" w:hAnsi="宋体" w:cs="Times New Roman"/>
                <w:color w:val="auto"/>
                <w:sz w:val="21"/>
                <w:szCs w:val="21"/>
              </w:rPr>
              <w:t>）</w:t>
            </w:r>
          </w:p>
        </w:tc>
        <w:tc>
          <w:tcPr>
            <w:tcW w:w="866" w:type="dxa"/>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cs="Times New Roman"/>
                <w:color w:val="auto"/>
                <w:sz w:val="21"/>
                <w:szCs w:val="21"/>
              </w:rPr>
              <w:t>ND</w:t>
            </w:r>
          </w:p>
        </w:tc>
        <w:tc>
          <w:tcPr>
            <w:tcW w:w="865" w:type="dxa"/>
            <w:gridSpan w:val="2"/>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cs="Times New Roman"/>
                <w:color w:val="auto"/>
                <w:sz w:val="21"/>
                <w:szCs w:val="21"/>
              </w:rPr>
              <w:t>ND</w:t>
            </w:r>
          </w:p>
        </w:tc>
        <w:tc>
          <w:tcPr>
            <w:tcW w:w="868" w:type="dxa"/>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cs="Times New Roman"/>
                <w:color w:val="auto"/>
                <w:sz w:val="21"/>
                <w:szCs w:val="21"/>
              </w:rPr>
              <w:t>ND</w:t>
            </w:r>
          </w:p>
        </w:tc>
        <w:tc>
          <w:tcPr>
            <w:tcW w:w="685" w:type="dxa"/>
            <w:tcBorders>
              <w:top w:val="single" w:color="000000" w:sz="4" w:space="0"/>
              <w:left w:val="nil"/>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40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242"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207" w:type="dxa"/>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018" w:type="dxa"/>
            <w:gridSpan w:val="2"/>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iCs/>
                <w:color w:val="auto"/>
                <w:kern w:val="0"/>
                <w:sz w:val="21"/>
                <w:szCs w:val="21"/>
              </w:rPr>
            </w:pPr>
          </w:p>
        </w:tc>
        <w:tc>
          <w:tcPr>
            <w:tcW w:w="1771" w:type="dxa"/>
            <w:gridSpan w:val="2"/>
            <w:tcBorders>
              <w:top w:val="single" w:color="000000" w:sz="4" w:space="0"/>
              <w:left w:val="nil"/>
              <w:bottom w:val="single" w:color="000000" w:sz="4" w:space="0"/>
              <w:right w:val="single" w:color="auto" w:sz="4" w:space="0"/>
            </w:tcBorders>
            <w:vAlign w:val="center"/>
          </w:tcPr>
          <w:p>
            <w:pPr>
              <w:autoSpaceDE w:val="0"/>
              <w:adjustRightInd w:val="0"/>
              <w:spacing w:line="240" w:lineRule="auto"/>
              <w:ind w:firstLine="0" w:firstLineChars="0"/>
              <w:jc w:val="center"/>
              <w:rPr>
                <w:rFonts w:cs="Times New Roman"/>
                <w:iCs/>
                <w:color w:val="auto"/>
                <w:kern w:val="0"/>
                <w:sz w:val="21"/>
                <w:szCs w:val="21"/>
              </w:rPr>
            </w:pPr>
            <w:r>
              <w:rPr>
                <w:rFonts w:ascii="宋体" w:hAnsi="宋体" w:cs="Times New Roman"/>
                <w:iCs/>
                <w:color w:val="auto"/>
                <w:kern w:val="0"/>
                <w:sz w:val="21"/>
                <w:szCs w:val="21"/>
              </w:rPr>
              <w:t>排放速率（</w:t>
            </w:r>
            <w:r>
              <w:rPr>
                <w:rFonts w:cs="Times New Roman"/>
                <w:iCs/>
                <w:color w:val="auto"/>
                <w:kern w:val="0"/>
                <w:sz w:val="21"/>
                <w:szCs w:val="21"/>
              </w:rPr>
              <w:t>kg/h</w:t>
            </w:r>
            <w:r>
              <w:rPr>
                <w:rFonts w:ascii="宋体" w:hAnsi="宋体" w:cs="Times New Roman"/>
                <w:iCs/>
                <w:color w:val="auto"/>
                <w:kern w:val="0"/>
                <w:sz w:val="21"/>
                <w:szCs w:val="21"/>
              </w:rPr>
              <w:t>）</w:t>
            </w:r>
          </w:p>
        </w:tc>
        <w:tc>
          <w:tcPr>
            <w:tcW w:w="866" w:type="dxa"/>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w:t>
            </w:r>
          </w:p>
        </w:tc>
        <w:tc>
          <w:tcPr>
            <w:tcW w:w="865" w:type="dxa"/>
            <w:gridSpan w:val="2"/>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w:t>
            </w:r>
          </w:p>
        </w:tc>
        <w:tc>
          <w:tcPr>
            <w:tcW w:w="868" w:type="dxa"/>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w:t>
            </w:r>
          </w:p>
        </w:tc>
        <w:tc>
          <w:tcPr>
            <w:tcW w:w="685" w:type="dxa"/>
            <w:tcBorders>
              <w:top w:val="single" w:color="000000" w:sz="4" w:space="0"/>
              <w:left w:val="nil"/>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242"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207" w:type="dxa"/>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018" w:type="dxa"/>
            <w:gridSpan w:val="2"/>
            <w:vMerge w:val="restart"/>
            <w:tcBorders>
              <w:top w:val="nil"/>
              <w:left w:val="nil"/>
              <w:bottom w:val="single" w:color="000000" w:sz="4" w:space="0"/>
              <w:right w:val="single" w:color="auto" w:sz="4" w:space="0"/>
            </w:tcBorders>
            <w:vAlign w:val="center"/>
          </w:tcPr>
          <w:p>
            <w:pPr>
              <w:autoSpaceDE w:val="0"/>
              <w:spacing w:line="240" w:lineRule="auto"/>
              <w:ind w:firstLine="0" w:firstLineChars="0"/>
              <w:jc w:val="center"/>
              <w:rPr>
                <w:rFonts w:cs="Times New Roman"/>
                <w:iCs/>
                <w:color w:val="auto"/>
                <w:kern w:val="0"/>
                <w:sz w:val="21"/>
                <w:szCs w:val="21"/>
              </w:rPr>
            </w:pPr>
            <w:r>
              <w:rPr>
                <w:rFonts w:ascii="宋体" w:hAnsi="宋体" w:cs="Times New Roman"/>
                <w:color w:val="auto"/>
                <w:sz w:val="21"/>
                <w:szCs w:val="21"/>
              </w:rPr>
              <w:t>颗粒物</w:t>
            </w:r>
          </w:p>
        </w:tc>
        <w:tc>
          <w:tcPr>
            <w:tcW w:w="1771" w:type="dxa"/>
            <w:gridSpan w:val="2"/>
            <w:tcBorders>
              <w:top w:val="single" w:color="000000" w:sz="4" w:space="0"/>
              <w:left w:val="nil"/>
              <w:bottom w:val="single" w:color="000000"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ascii="宋体" w:hAnsi="宋体" w:cs="Times New Roman"/>
                <w:color w:val="auto"/>
                <w:sz w:val="21"/>
                <w:szCs w:val="21"/>
              </w:rPr>
              <w:t>实测浓度（</w:t>
            </w:r>
            <w:r>
              <w:rPr>
                <w:rFonts w:cs="Times New Roman"/>
                <w:color w:val="auto"/>
                <w:sz w:val="21"/>
                <w:szCs w:val="21"/>
              </w:rPr>
              <w:t>mg/m</w:t>
            </w:r>
            <w:r>
              <w:rPr>
                <w:rFonts w:cs="Times New Roman"/>
                <w:color w:val="auto"/>
                <w:sz w:val="21"/>
                <w:szCs w:val="21"/>
                <w:vertAlign w:val="superscript"/>
              </w:rPr>
              <w:t>3</w:t>
            </w:r>
            <w:r>
              <w:rPr>
                <w:rFonts w:ascii="宋体" w:hAnsi="宋体" w:cs="Times New Roman"/>
                <w:color w:val="auto"/>
                <w:sz w:val="21"/>
                <w:szCs w:val="21"/>
              </w:rPr>
              <w:t>）</w:t>
            </w:r>
          </w:p>
        </w:tc>
        <w:tc>
          <w:tcPr>
            <w:tcW w:w="866" w:type="dxa"/>
            <w:tcBorders>
              <w:top w:val="single" w:color="000000" w:sz="4" w:space="0"/>
              <w:left w:val="nil"/>
              <w:bottom w:val="single" w:color="auto"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20.9</w:t>
            </w:r>
          </w:p>
        </w:tc>
        <w:tc>
          <w:tcPr>
            <w:tcW w:w="865" w:type="dxa"/>
            <w:gridSpan w:val="2"/>
            <w:tcBorders>
              <w:top w:val="single" w:color="000000" w:sz="4" w:space="0"/>
              <w:left w:val="nil"/>
              <w:bottom w:val="single" w:color="auto"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21.1</w:t>
            </w:r>
          </w:p>
        </w:tc>
        <w:tc>
          <w:tcPr>
            <w:tcW w:w="868" w:type="dxa"/>
            <w:tcBorders>
              <w:top w:val="single" w:color="000000" w:sz="4" w:space="0"/>
              <w:left w:val="nil"/>
              <w:bottom w:val="single" w:color="auto"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20.5</w:t>
            </w:r>
          </w:p>
        </w:tc>
        <w:tc>
          <w:tcPr>
            <w:tcW w:w="685" w:type="dxa"/>
            <w:tcBorders>
              <w:top w:val="single" w:color="000000" w:sz="4" w:space="0"/>
              <w:left w:val="nil"/>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30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242"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207" w:type="dxa"/>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018" w:type="dxa"/>
            <w:gridSpan w:val="2"/>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iCs/>
                <w:color w:val="auto"/>
                <w:kern w:val="0"/>
                <w:sz w:val="21"/>
                <w:szCs w:val="21"/>
              </w:rPr>
            </w:pPr>
          </w:p>
        </w:tc>
        <w:tc>
          <w:tcPr>
            <w:tcW w:w="1771" w:type="dxa"/>
            <w:gridSpan w:val="2"/>
            <w:tcBorders>
              <w:top w:val="single" w:color="000000" w:sz="4" w:space="0"/>
              <w:left w:val="nil"/>
              <w:bottom w:val="single" w:color="000000" w:sz="4" w:space="0"/>
              <w:right w:val="single" w:color="auto" w:sz="4" w:space="0"/>
            </w:tcBorders>
            <w:vAlign w:val="center"/>
          </w:tcPr>
          <w:p>
            <w:pPr>
              <w:autoSpaceDE w:val="0"/>
              <w:adjustRightInd w:val="0"/>
              <w:spacing w:line="240" w:lineRule="auto"/>
              <w:ind w:firstLine="0" w:firstLineChars="0"/>
              <w:jc w:val="center"/>
              <w:rPr>
                <w:rFonts w:cs="Times New Roman"/>
                <w:iCs/>
                <w:color w:val="auto"/>
                <w:kern w:val="0"/>
                <w:sz w:val="21"/>
                <w:szCs w:val="21"/>
              </w:rPr>
            </w:pPr>
            <w:r>
              <w:rPr>
                <w:rFonts w:ascii="宋体" w:hAnsi="宋体" w:cs="Times New Roman"/>
                <w:iCs/>
                <w:color w:val="auto"/>
                <w:kern w:val="0"/>
                <w:sz w:val="21"/>
                <w:szCs w:val="21"/>
              </w:rPr>
              <w:t>排放速率（</w:t>
            </w:r>
            <w:r>
              <w:rPr>
                <w:rFonts w:cs="Times New Roman"/>
                <w:iCs/>
                <w:color w:val="auto"/>
                <w:kern w:val="0"/>
                <w:sz w:val="21"/>
                <w:szCs w:val="21"/>
              </w:rPr>
              <w:t>kg/h</w:t>
            </w:r>
            <w:r>
              <w:rPr>
                <w:rFonts w:ascii="宋体" w:hAnsi="宋体" w:cs="Times New Roman"/>
                <w:iCs/>
                <w:color w:val="auto"/>
                <w:kern w:val="0"/>
                <w:sz w:val="21"/>
                <w:szCs w:val="21"/>
              </w:rPr>
              <w:t>）</w:t>
            </w:r>
          </w:p>
        </w:tc>
        <w:tc>
          <w:tcPr>
            <w:tcW w:w="866" w:type="dxa"/>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0.65 </w:t>
            </w:r>
          </w:p>
        </w:tc>
        <w:tc>
          <w:tcPr>
            <w:tcW w:w="865" w:type="dxa"/>
            <w:gridSpan w:val="2"/>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0.66 </w:t>
            </w:r>
          </w:p>
        </w:tc>
        <w:tc>
          <w:tcPr>
            <w:tcW w:w="868" w:type="dxa"/>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0.64 </w:t>
            </w:r>
          </w:p>
        </w:tc>
        <w:tc>
          <w:tcPr>
            <w:tcW w:w="685" w:type="dxa"/>
            <w:tcBorders>
              <w:top w:val="single" w:color="000000" w:sz="4" w:space="0"/>
              <w:left w:val="nil"/>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1.45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242"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207" w:type="dxa"/>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018" w:type="dxa"/>
            <w:gridSpan w:val="2"/>
            <w:vMerge w:val="restart"/>
            <w:tcBorders>
              <w:top w:val="nil"/>
              <w:left w:val="nil"/>
              <w:bottom w:val="single" w:color="000000" w:sz="4" w:space="0"/>
              <w:right w:val="single" w:color="auto" w:sz="4" w:space="0"/>
            </w:tcBorders>
            <w:vAlign w:val="center"/>
          </w:tcPr>
          <w:p>
            <w:pPr>
              <w:autoSpaceDE w:val="0"/>
              <w:spacing w:line="240" w:lineRule="auto"/>
              <w:ind w:firstLine="0" w:firstLineChars="0"/>
              <w:jc w:val="center"/>
              <w:rPr>
                <w:rFonts w:cs="Times New Roman"/>
                <w:iCs/>
                <w:color w:val="auto"/>
                <w:kern w:val="0"/>
                <w:sz w:val="21"/>
                <w:szCs w:val="21"/>
              </w:rPr>
            </w:pPr>
            <w:r>
              <w:rPr>
                <w:rFonts w:ascii="宋体" w:hAnsi="宋体" w:cs="Times New Roman"/>
                <w:color w:val="auto"/>
                <w:sz w:val="21"/>
                <w:szCs w:val="21"/>
              </w:rPr>
              <w:t>二氧化硫</w:t>
            </w:r>
          </w:p>
        </w:tc>
        <w:tc>
          <w:tcPr>
            <w:tcW w:w="1771" w:type="dxa"/>
            <w:gridSpan w:val="2"/>
            <w:tcBorders>
              <w:top w:val="single" w:color="000000" w:sz="4" w:space="0"/>
              <w:left w:val="nil"/>
              <w:bottom w:val="single" w:color="000000"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ascii="宋体" w:hAnsi="宋体" w:cs="Times New Roman"/>
                <w:color w:val="auto"/>
                <w:sz w:val="21"/>
                <w:szCs w:val="21"/>
              </w:rPr>
              <w:t>实测浓度（</w:t>
            </w:r>
            <w:r>
              <w:rPr>
                <w:rFonts w:cs="Times New Roman"/>
                <w:color w:val="auto"/>
                <w:sz w:val="21"/>
                <w:szCs w:val="21"/>
              </w:rPr>
              <w:t>mg/m</w:t>
            </w:r>
            <w:r>
              <w:rPr>
                <w:rFonts w:cs="Times New Roman"/>
                <w:color w:val="auto"/>
                <w:sz w:val="21"/>
                <w:szCs w:val="21"/>
                <w:vertAlign w:val="superscript"/>
              </w:rPr>
              <w:t>3</w:t>
            </w:r>
            <w:r>
              <w:rPr>
                <w:rFonts w:ascii="宋体" w:hAnsi="宋体" w:cs="Times New Roman"/>
                <w:color w:val="auto"/>
                <w:sz w:val="21"/>
                <w:szCs w:val="21"/>
              </w:rPr>
              <w:t>）</w:t>
            </w:r>
          </w:p>
        </w:tc>
        <w:tc>
          <w:tcPr>
            <w:tcW w:w="866" w:type="dxa"/>
            <w:tcBorders>
              <w:top w:val="single" w:color="000000" w:sz="4" w:space="0"/>
              <w:left w:val="nil"/>
              <w:bottom w:val="single" w:color="auto"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ND</w:t>
            </w:r>
          </w:p>
        </w:tc>
        <w:tc>
          <w:tcPr>
            <w:tcW w:w="865" w:type="dxa"/>
            <w:gridSpan w:val="2"/>
            <w:tcBorders>
              <w:top w:val="single" w:color="000000" w:sz="4" w:space="0"/>
              <w:left w:val="nil"/>
              <w:bottom w:val="single" w:color="auto"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ND</w:t>
            </w:r>
          </w:p>
        </w:tc>
        <w:tc>
          <w:tcPr>
            <w:tcW w:w="868" w:type="dxa"/>
            <w:tcBorders>
              <w:top w:val="single" w:color="000000" w:sz="4" w:space="0"/>
              <w:left w:val="nil"/>
              <w:bottom w:val="single" w:color="auto"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ND</w:t>
            </w:r>
          </w:p>
        </w:tc>
        <w:tc>
          <w:tcPr>
            <w:tcW w:w="685" w:type="dxa"/>
            <w:tcBorders>
              <w:top w:val="single" w:color="000000" w:sz="4" w:space="0"/>
              <w:left w:val="nil"/>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200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242"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207" w:type="dxa"/>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018" w:type="dxa"/>
            <w:gridSpan w:val="2"/>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iCs/>
                <w:color w:val="auto"/>
                <w:kern w:val="0"/>
                <w:sz w:val="21"/>
                <w:szCs w:val="21"/>
              </w:rPr>
            </w:pPr>
          </w:p>
        </w:tc>
        <w:tc>
          <w:tcPr>
            <w:tcW w:w="1771" w:type="dxa"/>
            <w:gridSpan w:val="2"/>
            <w:tcBorders>
              <w:top w:val="single" w:color="000000" w:sz="4" w:space="0"/>
              <w:left w:val="nil"/>
              <w:bottom w:val="single" w:color="000000" w:sz="4" w:space="0"/>
              <w:right w:val="single" w:color="auto" w:sz="4" w:space="0"/>
            </w:tcBorders>
            <w:vAlign w:val="center"/>
          </w:tcPr>
          <w:p>
            <w:pPr>
              <w:autoSpaceDE w:val="0"/>
              <w:adjustRightInd w:val="0"/>
              <w:spacing w:line="240" w:lineRule="auto"/>
              <w:ind w:firstLine="0" w:firstLineChars="0"/>
              <w:jc w:val="center"/>
              <w:rPr>
                <w:rFonts w:cs="Times New Roman"/>
                <w:iCs/>
                <w:color w:val="auto"/>
                <w:kern w:val="0"/>
                <w:sz w:val="21"/>
                <w:szCs w:val="21"/>
              </w:rPr>
            </w:pPr>
            <w:r>
              <w:rPr>
                <w:rFonts w:ascii="宋体" w:hAnsi="宋体" w:cs="Times New Roman"/>
                <w:iCs/>
                <w:color w:val="auto"/>
                <w:kern w:val="0"/>
                <w:sz w:val="21"/>
                <w:szCs w:val="21"/>
              </w:rPr>
              <w:t>排放速率（</w:t>
            </w:r>
            <w:r>
              <w:rPr>
                <w:rFonts w:cs="Times New Roman"/>
                <w:iCs/>
                <w:color w:val="auto"/>
                <w:kern w:val="0"/>
                <w:sz w:val="21"/>
                <w:szCs w:val="21"/>
              </w:rPr>
              <w:t>kg/h</w:t>
            </w:r>
            <w:r>
              <w:rPr>
                <w:rFonts w:ascii="宋体" w:hAnsi="宋体" w:cs="Times New Roman"/>
                <w:iCs/>
                <w:color w:val="auto"/>
                <w:kern w:val="0"/>
                <w:sz w:val="21"/>
                <w:szCs w:val="21"/>
              </w:rPr>
              <w:t>）</w:t>
            </w:r>
          </w:p>
        </w:tc>
        <w:tc>
          <w:tcPr>
            <w:tcW w:w="866" w:type="dxa"/>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w:t>
            </w:r>
          </w:p>
        </w:tc>
        <w:tc>
          <w:tcPr>
            <w:tcW w:w="865" w:type="dxa"/>
            <w:gridSpan w:val="2"/>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w:t>
            </w:r>
          </w:p>
        </w:tc>
        <w:tc>
          <w:tcPr>
            <w:tcW w:w="868" w:type="dxa"/>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w:t>
            </w:r>
          </w:p>
        </w:tc>
        <w:tc>
          <w:tcPr>
            <w:tcW w:w="685" w:type="dxa"/>
            <w:tcBorders>
              <w:top w:val="single" w:color="000000" w:sz="4" w:space="0"/>
              <w:left w:val="nil"/>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242"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207" w:type="dxa"/>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018" w:type="dxa"/>
            <w:gridSpan w:val="2"/>
            <w:vMerge w:val="restart"/>
            <w:tcBorders>
              <w:top w:val="nil"/>
              <w:left w:val="nil"/>
              <w:bottom w:val="single" w:color="000000" w:sz="4" w:space="0"/>
              <w:right w:val="single" w:color="auto" w:sz="4" w:space="0"/>
            </w:tcBorders>
            <w:vAlign w:val="center"/>
          </w:tcPr>
          <w:p>
            <w:pPr>
              <w:autoSpaceDE w:val="0"/>
              <w:spacing w:line="240" w:lineRule="auto"/>
              <w:ind w:firstLine="0" w:firstLineChars="0"/>
              <w:jc w:val="center"/>
              <w:rPr>
                <w:rFonts w:cs="Times New Roman"/>
                <w:iCs/>
                <w:color w:val="auto"/>
                <w:kern w:val="0"/>
                <w:sz w:val="21"/>
                <w:szCs w:val="21"/>
              </w:rPr>
            </w:pPr>
            <w:r>
              <w:rPr>
                <w:rFonts w:ascii="宋体" w:hAnsi="宋体" w:cs="Times New Roman"/>
                <w:color w:val="auto"/>
                <w:sz w:val="21"/>
                <w:szCs w:val="21"/>
              </w:rPr>
              <w:t>氮氧化物</w:t>
            </w:r>
          </w:p>
        </w:tc>
        <w:tc>
          <w:tcPr>
            <w:tcW w:w="1771" w:type="dxa"/>
            <w:gridSpan w:val="2"/>
            <w:tcBorders>
              <w:top w:val="single" w:color="000000" w:sz="4" w:space="0"/>
              <w:left w:val="nil"/>
              <w:bottom w:val="single" w:color="000000"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ascii="宋体" w:hAnsi="宋体" w:cs="Times New Roman"/>
                <w:color w:val="auto"/>
                <w:sz w:val="21"/>
                <w:szCs w:val="21"/>
              </w:rPr>
              <w:t>实测浓度（</w:t>
            </w:r>
            <w:r>
              <w:rPr>
                <w:rFonts w:cs="Times New Roman"/>
                <w:color w:val="auto"/>
                <w:sz w:val="21"/>
                <w:szCs w:val="21"/>
              </w:rPr>
              <w:t>mg/m</w:t>
            </w:r>
            <w:r>
              <w:rPr>
                <w:rFonts w:cs="Times New Roman"/>
                <w:color w:val="auto"/>
                <w:sz w:val="21"/>
                <w:szCs w:val="21"/>
                <w:vertAlign w:val="superscript"/>
              </w:rPr>
              <w:t>3</w:t>
            </w:r>
            <w:r>
              <w:rPr>
                <w:rFonts w:ascii="宋体" w:hAnsi="宋体" w:cs="Times New Roman"/>
                <w:color w:val="auto"/>
                <w:sz w:val="21"/>
                <w:szCs w:val="21"/>
              </w:rPr>
              <w:t>）</w:t>
            </w:r>
          </w:p>
        </w:tc>
        <w:tc>
          <w:tcPr>
            <w:tcW w:w="866" w:type="dxa"/>
            <w:tcBorders>
              <w:top w:val="single" w:color="000000" w:sz="4" w:space="0"/>
              <w:left w:val="nil"/>
              <w:bottom w:val="single" w:color="auto"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ND</w:t>
            </w:r>
          </w:p>
        </w:tc>
        <w:tc>
          <w:tcPr>
            <w:tcW w:w="865" w:type="dxa"/>
            <w:gridSpan w:val="2"/>
            <w:tcBorders>
              <w:top w:val="single" w:color="000000" w:sz="4" w:space="0"/>
              <w:left w:val="nil"/>
              <w:bottom w:val="single" w:color="auto"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ND</w:t>
            </w:r>
          </w:p>
        </w:tc>
        <w:tc>
          <w:tcPr>
            <w:tcW w:w="868" w:type="dxa"/>
            <w:tcBorders>
              <w:top w:val="single" w:color="000000" w:sz="4" w:space="0"/>
              <w:left w:val="nil"/>
              <w:bottom w:val="single" w:color="auto"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ND</w:t>
            </w:r>
          </w:p>
        </w:tc>
        <w:tc>
          <w:tcPr>
            <w:tcW w:w="685" w:type="dxa"/>
            <w:tcBorders>
              <w:top w:val="single" w:color="000000" w:sz="4" w:space="0"/>
              <w:left w:val="nil"/>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300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242"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207" w:type="dxa"/>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018" w:type="dxa"/>
            <w:gridSpan w:val="2"/>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iCs/>
                <w:color w:val="auto"/>
                <w:kern w:val="0"/>
                <w:sz w:val="21"/>
                <w:szCs w:val="21"/>
              </w:rPr>
            </w:pPr>
          </w:p>
        </w:tc>
        <w:tc>
          <w:tcPr>
            <w:tcW w:w="1771" w:type="dxa"/>
            <w:gridSpan w:val="2"/>
            <w:tcBorders>
              <w:top w:val="single" w:color="000000" w:sz="4" w:space="0"/>
              <w:left w:val="nil"/>
              <w:bottom w:val="single" w:color="000000" w:sz="4" w:space="0"/>
              <w:right w:val="single" w:color="auto" w:sz="4" w:space="0"/>
            </w:tcBorders>
            <w:vAlign w:val="center"/>
          </w:tcPr>
          <w:p>
            <w:pPr>
              <w:autoSpaceDE w:val="0"/>
              <w:adjustRightInd w:val="0"/>
              <w:spacing w:line="240" w:lineRule="auto"/>
              <w:ind w:firstLine="0" w:firstLineChars="0"/>
              <w:jc w:val="center"/>
              <w:rPr>
                <w:rFonts w:cs="Times New Roman"/>
                <w:iCs/>
                <w:color w:val="auto"/>
                <w:kern w:val="0"/>
                <w:sz w:val="21"/>
                <w:szCs w:val="21"/>
              </w:rPr>
            </w:pPr>
            <w:r>
              <w:rPr>
                <w:rFonts w:ascii="宋体" w:hAnsi="宋体" w:cs="Times New Roman"/>
                <w:iCs/>
                <w:color w:val="auto"/>
                <w:kern w:val="0"/>
                <w:sz w:val="21"/>
                <w:szCs w:val="21"/>
              </w:rPr>
              <w:t>排放速率（</w:t>
            </w:r>
            <w:r>
              <w:rPr>
                <w:rFonts w:cs="Times New Roman"/>
                <w:iCs/>
                <w:color w:val="auto"/>
                <w:kern w:val="0"/>
                <w:sz w:val="21"/>
                <w:szCs w:val="21"/>
              </w:rPr>
              <w:t>kg/h</w:t>
            </w:r>
            <w:r>
              <w:rPr>
                <w:rFonts w:ascii="宋体" w:hAnsi="宋体" w:cs="Times New Roman"/>
                <w:iCs/>
                <w:color w:val="auto"/>
                <w:kern w:val="0"/>
                <w:sz w:val="21"/>
                <w:szCs w:val="21"/>
              </w:rPr>
              <w:t>）</w:t>
            </w:r>
          </w:p>
        </w:tc>
        <w:tc>
          <w:tcPr>
            <w:tcW w:w="866" w:type="dxa"/>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w:t>
            </w:r>
          </w:p>
        </w:tc>
        <w:tc>
          <w:tcPr>
            <w:tcW w:w="865" w:type="dxa"/>
            <w:gridSpan w:val="2"/>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w:t>
            </w:r>
          </w:p>
        </w:tc>
        <w:tc>
          <w:tcPr>
            <w:tcW w:w="868" w:type="dxa"/>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w:t>
            </w:r>
          </w:p>
        </w:tc>
        <w:tc>
          <w:tcPr>
            <w:tcW w:w="685" w:type="dxa"/>
            <w:tcBorders>
              <w:top w:val="single" w:color="000000" w:sz="4" w:space="0"/>
              <w:left w:val="nil"/>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242"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207" w:type="dxa"/>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2789" w:type="dxa"/>
            <w:gridSpan w:val="4"/>
            <w:tcBorders>
              <w:top w:val="single" w:color="000000" w:sz="4" w:space="0"/>
              <w:left w:val="nil"/>
              <w:bottom w:val="single" w:color="000000" w:sz="4" w:space="0"/>
              <w:right w:val="single" w:color="auto" w:sz="4" w:space="0"/>
            </w:tcBorders>
            <w:vAlign w:val="center"/>
          </w:tcPr>
          <w:p>
            <w:pPr>
              <w:autoSpaceDE w:val="0"/>
              <w:adjustRightInd w:val="0"/>
              <w:spacing w:line="240" w:lineRule="auto"/>
              <w:ind w:firstLine="0" w:firstLineChars="0"/>
              <w:jc w:val="center"/>
              <w:rPr>
                <w:rFonts w:cs="Times New Roman"/>
                <w:iCs/>
                <w:color w:val="auto"/>
                <w:kern w:val="0"/>
                <w:sz w:val="21"/>
                <w:szCs w:val="21"/>
              </w:rPr>
            </w:pPr>
            <w:r>
              <w:rPr>
                <w:rFonts w:ascii="宋体" w:hAnsi="宋体" w:cs="Times New Roman"/>
                <w:iCs/>
                <w:color w:val="auto"/>
                <w:kern w:val="0"/>
                <w:sz w:val="21"/>
                <w:szCs w:val="21"/>
              </w:rPr>
              <w:t>标干流量（</w:t>
            </w:r>
            <w:r>
              <w:rPr>
                <w:rFonts w:cs="Times New Roman"/>
                <w:iCs/>
                <w:color w:val="auto"/>
                <w:kern w:val="0"/>
                <w:sz w:val="21"/>
                <w:szCs w:val="21"/>
              </w:rPr>
              <w:t>m</w:t>
            </w:r>
            <w:r>
              <w:rPr>
                <w:rFonts w:cs="Times New Roman"/>
                <w:iCs/>
                <w:color w:val="auto"/>
                <w:kern w:val="0"/>
                <w:sz w:val="21"/>
                <w:szCs w:val="21"/>
                <w:vertAlign w:val="superscript"/>
              </w:rPr>
              <w:t>3</w:t>
            </w:r>
            <w:r>
              <w:rPr>
                <w:rFonts w:cs="Times New Roman"/>
                <w:iCs/>
                <w:color w:val="auto"/>
                <w:kern w:val="0"/>
                <w:sz w:val="21"/>
                <w:szCs w:val="21"/>
              </w:rPr>
              <w:t>/h</w:t>
            </w:r>
            <w:r>
              <w:rPr>
                <w:rFonts w:ascii="宋体" w:hAnsi="宋体" w:cs="Times New Roman"/>
                <w:iCs/>
                <w:color w:val="auto"/>
                <w:kern w:val="0"/>
                <w:sz w:val="21"/>
                <w:szCs w:val="21"/>
              </w:rPr>
              <w:t>）</w:t>
            </w:r>
          </w:p>
        </w:tc>
        <w:tc>
          <w:tcPr>
            <w:tcW w:w="866" w:type="dxa"/>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cs="Times New Roman"/>
                <w:color w:val="auto"/>
                <w:sz w:val="21"/>
                <w:szCs w:val="21"/>
              </w:rPr>
              <w:t>31126</w:t>
            </w:r>
          </w:p>
        </w:tc>
        <w:tc>
          <w:tcPr>
            <w:tcW w:w="865" w:type="dxa"/>
            <w:gridSpan w:val="2"/>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cs="Times New Roman"/>
                <w:color w:val="auto"/>
                <w:sz w:val="21"/>
                <w:szCs w:val="21"/>
              </w:rPr>
              <w:t>31389</w:t>
            </w:r>
          </w:p>
        </w:tc>
        <w:tc>
          <w:tcPr>
            <w:tcW w:w="868" w:type="dxa"/>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cs="Times New Roman"/>
                <w:color w:val="auto"/>
                <w:sz w:val="21"/>
                <w:szCs w:val="21"/>
              </w:rPr>
              <w:t>31407</w:t>
            </w:r>
          </w:p>
        </w:tc>
        <w:tc>
          <w:tcPr>
            <w:tcW w:w="685" w:type="dxa"/>
            <w:tcBorders>
              <w:top w:val="single" w:color="000000" w:sz="4" w:space="0"/>
              <w:left w:val="nil"/>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242" w:type="dxa"/>
            <w:vMerge w:val="restart"/>
            <w:tcBorders>
              <w:top w:val="nil"/>
              <w:left w:val="single" w:color="000000" w:sz="4" w:space="0"/>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2025.12.1</w:t>
            </w:r>
            <w:r>
              <w:rPr>
                <w:rFonts w:hint="eastAsia" w:cs="Times New Roman"/>
                <w:color w:val="auto"/>
                <w:sz w:val="21"/>
                <w:szCs w:val="21"/>
              </w:rPr>
              <w:t>1</w:t>
            </w:r>
          </w:p>
        </w:tc>
        <w:tc>
          <w:tcPr>
            <w:tcW w:w="1207" w:type="dxa"/>
            <w:vMerge w:val="restart"/>
            <w:tcBorders>
              <w:top w:val="nil"/>
              <w:left w:val="nil"/>
              <w:bottom w:val="single" w:color="000000" w:sz="4" w:space="0"/>
              <w:right w:val="single" w:color="auto" w:sz="4" w:space="0"/>
            </w:tcBorders>
            <w:vAlign w:val="center"/>
          </w:tcPr>
          <w:p>
            <w:pPr>
              <w:spacing w:line="240" w:lineRule="auto"/>
              <w:ind w:firstLine="0" w:firstLineChars="0"/>
              <w:jc w:val="center"/>
              <w:rPr>
                <w:rFonts w:cs="Times New Roman"/>
                <w:iCs/>
                <w:color w:val="auto"/>
                <w:kern w:val="0"/>
                <w:sz w:val="21"/>
                <w:szCs w:val="21"/>
              </w:rPr>
            </w:pPr>
            <w:r>
              <w:rPr>
                <w:rFonts w:ascii="宋体" w:hAnsi="宋体" w:cs="Times New Roman"/>
                <w:color w:val="auto"/>
                <w:sz w:val="21"/>
                <w:szCs w:val="21"/>
              </w:rPr>
              <w:t>喷粉固化废气、喷漆废气（喷漆房</w:t>
            </w:r>
            <w:r>
              <w:rPr>
                <w:rFonts w:cs="Times New Roman"/>
                <w:color w:val="auto"/>
                <w:sz w:val="21"/>
                <w:szCs w:val="21"/>
              </w:rPr>
              <w:t>1</w:t>
            </w:r>
            <w:r>
              <w:rPr>
                <w:rFonts w:ascii="宋体" w:hAnsi="宋体" w:cs="Times New Roman"/>
                <w:color w:val="auto"/>
                <w:sz w:val="21"/>
                <w:szCs w:val="21"/>
              </w:rPr>
              <w:t>）、烘干废气（烤漆炉</w:t>
            </w:r>
            <w:r>
              <w:rPr>
                <w:rFonts w:cs="Times New Roman"/>
                <w:color w:val="auto"/>
                <w:sz w:val="21"/>
                <w:szCs w:val="21"/>
              </w:rPr>
              <w:t>1</w:t>
            </w:r>
            <w:r>
              <w:rPr>
                <w:rFonts w:ascii="宋体" w:hAnsi="宋体" w:cs="Times New Roman"/>
                <w:color w:val="auto"/>
                <w:sz w:val="21"/>
                <w:szCs w:val="21"/>
              </w:rPr>
              <w:t>）、调漆废气、液化石油气燃烧废气（烤漆炉</w:t>
            </w:r>
            <w:r>
              <w:rPr>
                <w:rFonts w:cs="Times New Roman"/>
                <w:color w:val="auto"/>
                <w:sz w:val="21"/>
                <w:szCs w:val="21"/>
              </w:rPr>
              <w:t>1</w:t>
            </w:r>
            <w:r>
              <w:rPr>
                <w:rFonts w:ascii="宋体" w:hAnsi="宋体" w:cs="Times New Roman"/>
                <w:color w:val="auto"/>
                <w:sz w:val="21"/>
                <w:szCs w:val="21"/>
              </w:rPr>
              <w:t>和固化炉）、危废间废气排放口（</w:t>
            </w:r>
            <w:r>
              <w:rPr>
                <w:rFonts w:cs="Times New Roman"/>
                <w:color w:val="auto"/>
                <w:sz w:val="21"/>
                <w:szCs w:val="21"/>
              </w:rPr>
              <w:t>DA001</w:t>
            </w:r>
            <w:r>
              <w:rPr>
                <w:rFonts w:ascii="宋体" w:hAnsi="宋体" w:cs="Times New Roman"/>
                <w:color w:val="auto"/>
                <w:sz w:val="21"/>
                <w:szCs w:val="21"/>
              </w:rPr>
              <w:t>）</w:t>
            </w:r>
          </w:p>
        </w:tc>
        <w:tc>
          <w:tcPr>
            <w:tcW w:w="1018" w:type="dxa"/>
            <w:gridSpan w:val="2"/>
            <w:vMerge w:val="restart"/>
            <w:tcBorders>
              <w:top w:val="nil"/>
              <w:left w:val="nil"/>
              <w:bottom w:val="single" w:color="000000" w:sz="4" w:space="0"/>
              <w:right w:val="single" w:color="auto" w:sz="4" w:space="0"/>
            </w:tcBorders>
            <w:vAlign w:val="center"/>
          </w:tcPr>
          <w:p>
            <w:pPr>
              <w:autoSpaceDE w:val="0"/>
              <w:spacing w:line="240" w:lineRule="auto"/>
              <w:ind w:firstLine="0" w:firstLineChars="0"/>
              <w:jc w:val="center"/>
              <w:rPr>
                <w:rFonts w:cs="Times New Roman"/>
                <w:iCs/>
                <w:color w:val="auto"/>
                <w:kern w:val="0"/>
                <w:sz w:val="21"/>
                <w:szCs w:val="21"/>
              </w:rPr>
            </w:pPr>
            <w:r>
              <w:rPr>
                <w:rFonts w:ascii="宋体" w:hAnsi="宋体" w:cs="Times New Roman"/>
                <w:color w:val="auto"/>
                <w:kern w:val="0"/>
                <w:sz w:val="21"/>
                <w:szCs w:val="21"/>
              </w:rPr>
              <w:t>总</w:t>
            </w:r>
            <w:r>
              <w:rPr>
                <w:rFonts w:cs="Times New Roman"/>
                <w:color w:val="auto"/>
                <w:kern w:val="0"/>
                <w:sz w:val="21"/>
                <w:szCs w:val="21"/>
              </w:rPr>
              <w:t>VOCs</w:t>
            </w:r>
          </w:p>
        </w:tc>
        <w:tc>
          <w:tcPr>
            <w:tcW w:w="1771" w:type="dxa"/>
            <w:gridSpan w:val="2"/>
            <w:tcBorders>
              <w:top w:val="single" w:color="000000" w:sz="4" w:space="0"/>
              <w:left w:val="nil"/>
              <w:bottom w:val="single" w:color="000000" w:sz="4" w:space="0"/>
              <w:right w:val="single" w:color="auto" w:sz="4" w:space="0"/>
            </w:tcBorders>
            <w:vAlign w:val="center"/>
          </w:tcPr>
          <w:p>
            <w:pPr>
              <w:autoSpaceDE w:val="0"/>
              <w:adjustRightInd w:val="0"/>
              <w:spacing w:line="240" w:lineRule="auto"/>
              <w:ind w:firstLine="0" w:firstLineChars="0"/>
              <w:jc w:val="left"/>
              <w:rPr>
                <w:rFonts w:cs="Times New Roman"/>
                <w:color w:val="auto"/>
                <w:sz w:val="21"/>
                <w:szCs w:val="21"/>
              </w:rPr>
            </w:pPr>
            <w:r>
              <w:rPr>
                <w:rFonts w:ascii="宋体" w:hAnsi="宋体" w:cs="Times New Roman"/>
                <w:color w:val="auto"/>
                <w:sz w:val="21"/>
                <w:szCs w:val="21"/>
              </w:rPr>
              <w:t>实测浓度（</w:t>
            </w:r>
            <w:r>
              <w:rPr>
                <w:rFonts w:cs="Times New Roman"/>
                <w:color w:val="auto"/>
                <w:sz w:val="21"/>
                <w:szCs w:val="21"/>
              </w:rPr>
              <w:t>mg/m</w:t>
            </w:r>
            <w:r>
              <w:rPr>
                <w:rFonts w:cs="Times New Roman"/>
                <w:color w:val="auto"/>
                <w:sz w:val="21"/>
                <w:szCs w:val="21"/>
                <w:vertAlign w:val="superscript"/>
              </w:rPr>
              <w:t>3</w:t>
            </w:r>
            <w:r>
              <w:rPr>
                <w:rFonts w:ascii="宋体" w:hAnsi="宋体" w:cs="Times New Roman"/>
                <w:color w:val="auto"/>
                <w:sz w:val="21"/>
                <w:szCs w:val="21"/>
              </w:rPr>
              <w:t>）</w:t>
            </w:r>
          </w:p>
        </w:tc>
        <w:tc>
          <w:tcPr>
            <w:tcW w:w="866" w:type="dxa"/>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cs="Times New Roman"/>
                <w:color w:val="auto"/>
                <w:kern w:val="0"/>
                <w:sz w:val="21"/>
                <w:szCs w:val="21"/>
              </w:rPr>
              <w:t>1.02</w:t>
            </w:r>
          </w:p>
        </w:tc>
        <w:tc>
          <w:tcPr>
            <w:tcW w:w="865" w:type="dxa"/>
            <w:gridSpan w:val="2"/>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cs="Times New Roman"/>
                <w:color w:val="auto"/>
                <w:kern w:val="0"/>
                <w:sz w:val="21"/>
                <w:szCs w:val="21"/>
              </w:rPr>
              <w:t xml:space="preserve">1.32 </w:t>
            </w:r>
          </w:p>
        </w:tc>
        <w:tc>
          <w:tcPr>
            <w:tcW w:w="868" w:type="dxa"/>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cs="Times New Roman"/>
                <w:color w:val="auto"/>
                <w:kern w:val="0"/>
                <w:sz w:val="21"/>
                <w:szCs w:val="21"/>
              </w:rPr>
              <w:t>1.17</w:t>
            </w:r>
          </w:p>
        </w:tc>
        <w:tc>
          <w:tcPr>
            <w:tcW w:w="685" w:type="dxa"/>
            <w:tcBorders>
              <w:top w:val="single" w:color="000000" w:sz="4" w:space="0"/>
              <w:left w:val="nil"/>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100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242"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207" w:type="dxa"/>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iCs/>
                <w:color w:val="auto"/>
                <w:kern w:val="0"/>
                <w:sz w:val="21"/>
                <w:szCs w:val="21"/>
              </w:rPr>
            </w:pPr>
          </w:p>
        </w:tc>
        <w:tc>
          <w:tcPr>
            <w:tcW w:w="1018" w:type="dxa"/>
            <w:gridSpan w:val="2"/>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iCs/>
                <w:color w:val="auto"/>
                <w:kern w:val="0"/>
                <w:sz w:val="21"/>
                <w:szCs w:val="21"/>
              </w:rPr>
            </w:pPr>
          </w:p>
        </w:tc>
        <w:tc>
          <w:tcPr>
            <w:tcW w:w="1771" w:type="dxa"/>
            <w:gridSpan w:val="2"/>
            <w:tcBorders>
              <w:top w:val="single" w:color="000000" w:sz="4" w:space="0"/>
              <w:left w:val="nil"/>
              <w:bottom w:val="single" w:color="000000" w:sz="4" w:space="0"/>
              <w:right w:val="single" w:color="auto" w:sz="4" w:space="0"/>
            </w:tcBorders>
            <w:vAlign w:val="center"/>
          </w:tcPr>
          <w:p>
            <w:pPr>
              <w:autoSpaceDE w:val="0"/>
              <w:adjustRightInd w:val="0"/>
              <w:spacing w:line="240" w:lineRule="auto"/>
              <w:ind w:firstLine="0" w:firstLineChars="0"/>
              <w:jc w:val="left"/>
              <w:rPr>
                <w:rFonts w:cs="Times New Roman"/>
                <w:iCs/>
                <w:color w:val="auto"/>
                <w:kern w:val="0"/>
                <w:sz w:val="21"/>
                <w:szCs w:val="21"/>
              </w:rPr>
            </w:pPr>
            <w:r>
              <w:rPr>
                <w:rFonts w:ascii="宋体" w:hAnsi="宋体" w:cs="Times New Roman"/>
                <w:iCs/>
                <w:color w:val="auto"/>
                <w:kern w:val="0"/>
                <w:sz w:val="21"/>
                <w:szCs w:val="21"/>
              </w:rPr>
              <w:t>排放速率（</w:t>
            </w:r>
            <w:r>
              <w:rPr>
                <w:rFonts w:cs="Times New Roman"/>
                <w:iCs/>
                <w:color w:val="auto"/>
                <w:kern w:val="0"/>
                <w:sz w:val="21"/>
                <w:szCs w:val="21"/>
              </w:rPr>
              <w:t>kg/h</w:t>
            </w:r>
            <w:r>
              <w:rPr>
                <w:rFonts w:ascii="宋体" w:hAnsi="宋体" w:cs="Times New Roman"/>
                <w:iCs/>
                <w:color w:val="auto"/>
                <w:kern w:val="0"/>
                <w:sz w:val="21"/>
                <w:szCs w:val="21"/>
              </w:rPr>
              <w:t>）</w:t>
            </w:r>
          </w:p>
        </w:tc>
        <w:tc>
          <w:tcPr>
            <w:tcW w:w="866" w:type="dxa"/>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0.032 </w:t>
            </w:r>
          </w:p>
        </w:tc>
        <w:tc>
          <w:tcPr>
            <w:tcW w:w="865" w:type="dxa"/>
            <w:gridSpan w:val="2"/>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0.041 </w:t>
            </w:r>
          </w:p>
        </w:tc>
        <w:tc>
          <w:tcPr>
            <w:tcW w:w="868" w:type="dxa"/>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0.036 </w:t>
            </w:r>
          </w:p>
        </w:tc>
        <w:tc>
          <w:tcPr>
            <w:tcW w:w="685" w:type="dxa"/>
            <w:tcBorders>
              <w:top w:val="single" w:color="000000" w:sz="4" w:space="0"/>
              <w:left w:val="nil"/>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242"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207" w:type="dxa"/>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iCs/>
                <w:color w:val="auto"/>
                <w:kern w:val="0"/>
                <w:sz w:val="21"/>
                <w:szCs w:val="21"/>
              </w:rPr>
            </w:pPr>
          </w:p>
        </w:tc>
        <w:tc>
          <w:tcPr>
            <w:tcW w:w="1018" w:type="dxa"/>
            <w:gridSpan w:val="2"/>
            <w:vMerge w:val="restart"/>
            <w:tcBorders>
              <w:top w:val="nil"/>
              <w:left w:val="nil"/>
              <w:bottom w:val="single" w:color="000000" w:sz="4" w:space="0"/>
              <w:right w:val="single" w:color="auto" w:sz="4" w:space="0"/>
            </w:tcBorders>
            <w:vAlign w:val="center"/>
          </w:tcPr>
          <w:p>
            <w:pPr>
              <w:autoSpaceDE w:val="0"/>
              <w:spacing w:line="240" w:lineRule="auto"/>
              <w:ind w:firstLine="0" w:firstLineChars="0"/>
              <w:jc w:val="center"/>
              <w:rPr>
                <w:rFonts w:cs="Times New Roman"/>
                <w:iCs/>
                <w:color w:val="auto"/>
                <w:kern w:val="0"/>
                <w:sz w:val="21"/>
                <w:szCs w:val="21"/>
              </w:rPr>
            </w:pPr>
            <w:r>
              <w:rPr>
                <w:rFonts w:ascii="宋体" w:hAnsi="宋体" w:cs="Times New Roman"/>
                <w:color w:val="auto"/>
                <w:kern w:val="0"/>
                <w:sz w:val="21"/>
                <w:szCs w:val="21"/>
              </w:rPr>
              <w:t>二甲苯</w:t>
            </w:r>
          </w:p>
        </w:tc>
        <w:tc>
          <w:tcPr>
            <w:tcW w:w="1771" w:type="dxa"/>
            <w:gridSpan w:val="2"/>
            <w:tcBorders>
              <w:top w:val="single" w:color="000000" w:sz="4" w:space="0"/>
              <w:left w:val="nil"/>
              <w:bottom w:val="single" w:color="000000"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ascii="宋体" w:hAnsi="宋体" w:cs="Times New Roman"/>
                <w:color w:val="auto"/>
                <w:sz w:val="21"/>
                <w:szCs w:val="21"/>
              </w:rPr>
              <w:t>实测浓度（</w:t>
            </w:r>
            <w:r>
              <w:rPr>
                <w:rFonts w:cs="Times New Roman"/>
                <w:color w:val="auto"/>
                <w:sz w:val="21"/>
                <w:szCs w:val="21"/>
              </w:rPr>
              <w:t>mg/m</w:t>
            </w:r>
            <w:r>
              <w:rPr>
                <w:rFonts w:cs="Times New Roman"/>
                <w:color w:val="auto"/>
                <w:sz w:val="21"/>
                <w:szCs w:val="21"/>
                <w:vertAlign w:val="superscript"/>
              </w:rPr>
              <w:t>3</w:t>
            </w:r>
            <w:r>
              <w:rPr>
                <w:rFonts w:ascii="宋体" w:hAnsi="宋体" w:cs="Times New Roman"/>
                <w:color w:val="auto"/>
                <w:sz w:val="21"/>
                <w:szCs w:val="21"/>
              </w:rPr>
              <w:t>）</w:t>
            </w:r>
          </w:p>
        </w:tc>
        <w:tc>
          <w:tcPr>
            <w:tcW w:w="866" w:type="dxa"/>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cs="Times New Roman"/>
                <w:color w:val="auto"/>
                <w:sz w:val="21"/>
                <w:szCs w:val="21"/>
              </w:rPr>
              <w:t>ND</w:t>
            </w:r>
          </w:p>
        </w:tc>
        <w:tc>
          <w:tcPr>
            <w:tcW w:w="865" w:type="dxa"/>
            <w:gridSpan w:val="2"/>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cs="Times New Roman"/>
                <w:color w:val="auto"/>
                <w:sz w:val="21"/>
                <w:szCs w:val="21"/>
              </w:rPr>
              <w:t>ND</w:t>
            </w:r>
          </w:p>
        </w:tc>
        <w:tc>
          <w:tcPr>
            <w:tcW w:w="868" w:type="dxa"/>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cs="Times New Roman"/>
                <w:color w:val="auto"/>
                <w:sz w:val="21"/>
                <w:szCs w:val="21"/>
              </w:rPr>
              <w:t>ND</w:t>
            </w:r>
          </w:p>
        </w:tc>
        <w:tc>
          <w:tcPr>
            <w:tcW w:w="685" w:type="dxa"/>
            <w:tcBorders>
              <w:top w:val="single" w:color="000000" w:sz="4" w:space="0"/>
              <w:left w:val="nil"/>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40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242"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207" w:type="dxa"/>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iCs/>
                <w:color w:val="auto"/>
                <w:kern w:val="0"/>
                <w:sz w:val="21"/>
                <w:szCs w:val="21"/>
              </w:rPr>
            </w:pPr>
          </w:p>
        </w:tc>
        <w:tc>
          <w:tcPr>
            <w:tcW w:w="1018" w:type="dxa"/>
            <w:gridSpan w:val="2"/>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iCs/>
                <w:color w:val="auto"/>
                <w:kern w:val="0"/>
                <w:sz w:val="21"/>
                <w:szCs w:val="21"/>
              </w:rPr>
            </w:pPr>
          </w:p>
        </w:tc>
        <w:tc>
          <w:tcPr>
            <w:tcW w:w="1771" w:type="dxa"/>
            <w:gridSpan w:val="2"/>
            <w:tcBorders>
              <w:top w:val="single" w:color="000000" w:sz="4" w:space="0"/>
              <w:left w:val="nil"/>
              <w:bottom w:val="single" w:color="000000" w:sz="4" w:space="0"/>
              <w:right w:val="single" w:color="auto" w:sz="4" w:space="0"/>
            </w:tcBorders>
            <w:vAlign w:val="center"/>
          </w:tcPr>
          <w:p>
            <w:pPr>
              <w:autoSpaceDE w:val="0"/>
              <w:adjustRightInd w:val="0"/>
              <w:spacing w:line="240" w:lineRule="auto"/>
              <w:ind w:firstLine="0" w:firstLineChars="0"/>
              <w:jc w:val="center"/>
              <w:rPr>
                <w:rFonts w:cs="Times New Roman"/>
                <w:iCs/>
                <w:color w:val="auto"/>
                <w:kern w:val="0"/>
                <w:sz w:val="21"/>
                <w:szCs w:val="21"/>
              </w:rPr>
            </w:pPr>
            <w:r>
              <w:rPr>
                <w:rFonts w:ascii="宋体" w:hAnsi="宋体" w:cs="Times New Roman"/>
                <w:iCs/>
                <w:color w:val="auto"/>
                <w:kern w:val="0"/>
                <w:sz w:val="21"/>
                <w:szCs w:val="21"/>
              </w:rPr>
              <w:t>排放速率（</w:t>
            </w:r>
            <w:r>
              <w:rPr>
                <w:rFonts w:cs="Times New Roman"/>
                <w:iCs/>
                <w:color w:val="auto"/>
                <w:kern w:val="0"/>
                <w:sz w:val="21"/>
                <w:szCs w:val="21"/>
              </w:rPr>
              <w:t>kg/h</w:t>
            </w:r>
            <w:r>
              <w:rPr>
                <w:rFonts w:ascii="宋体" w:hAnsi="宋体" w:cs="Times New Roman"/>
                <w:iCs/>
                <w:color w:val="auto"/>
                <w:kern w:val="0"/>
                <w:sz w:val="21"/>
                <w:szCs w:val="21"/>
              </w:rPr>
              <w:t>）</w:t>
            </w:r>
          </w:p>
        </w:tc>
        <w:tc>
          <w:tcPr>
            <w:tcW w:w="866" w:type="dxa"/>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w:t>
            </w:r>
          </w:p>
        </w:tc>
        <w:tc>
          <w:tcPr>
            <w:tcW w:w="865" w:type="dxa"/>
            <w:gridSpan w:val="2"/>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w:t>
            </w:r>
          </w:p>
        </w:tc>
        <w:tc>
          <w:tcPr>
            <w:tcW w:w="868" w:type="dxa"/>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w:t>
            </w:r>
          </w:p>
        </w:tc>
        <w:tc>
          <w:tcPr>
            <w:tcW w:w="685" w:type="dxa"/>
            <w:tcBorders>
              <w:top w:val="single" w:color="000000" w:sz="4" w:space="0"/>
              <w:left w:val="nil"/>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242"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207" w:type="dxa"/>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iCs/>
                <w:color w:val="auto"/>
                <w:kern w:val="0"/>
                <w:sz w:val="21"/>
                <w:szCs w:val="21"/>
              </w:rPr>
            </w:pPr>
          </w:p>
        </w:tc>
        <w:tc>
          <w:tcPr>
            <w:tcW w:w="1018" w:type="dxa"/>
            <w:gridSpan w:val="2"/>
            <w:vMerge w:val="restart"/>
            <w:tcBorders>
              <w:top w:val="nil"/>
              <w:left w:val="nil"/>
              <w:bottom w:val="single" w:color="000000" w:sz="4" w:space="0"/>
              <w:right w:val="single" w:color="auto" w:sz="4" w:space="0"/>
            </w:tcBorders>
            <w:vAlign w:val="center"/>
          </w:tcPr>
          <w:p>
            <w:pPr>
              <w:autoSpaceDE w:val="0"/>
              <w:spacing w:line="240" w:lineRule="auto"/>
              <w:ind w:firstLine="0" w:firstLineChars="0"/>
              <w:jc w:val="center"/>
              <w:rPr>
                <w:rFonts w:cs="Times New Roman"/>
                <w:iCs/>
                <w:color w:val="auto"/>
                <w:kern w:val="0"/>
                <w:sz w:val="21"/>
                <w:szCs w:val="21"/>
              </w:rPr>
            </w:pPr>
            <w:r>
              <w:rPr>
                <w:rFonts w:ascii="宋体" w:hAnsi="宋体" w:cs="Times New Roman"/>
                <w:color w:val="auto"/>
                <w:sz w:val="21"/>
                <w:szCs w:val="21"/>
              </w:rPr>
              <w:t>颗粒物</w:t>
            </w:r>
          </w:p>
        </w:tc>
        <w:tc>
          <w:tcPr>
            <w:tcW w:w="1771" w:type="dxa"/>
            <w:gridSpan w:val="2"/>
            <w:tcBorders>
              <w:top w:val="single" w:color="000000" w:sz="4" w:space="0"/>
              <w:left w:val="nil"/>
              <w:bottom w:val="single" w:color="000000"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ascii="宋体" w:hAnsi="宋体" w:cs="Times New Roman"/>
                <w:color w:val="auto"/>
                <w:sz w:val="21"/>
                <w:szCs w:val="21"/>
              </w:rPr>
              <w:t>实测浓度（</w:t>
            </w:r>
            <w:r>
              <w:rPr>
                <w:rFonts w:cs="Times New Roman"/>
                <w:color w:val="auto"/>
                <w:sz w:val="21"/>
                <w:szCs w:val="21"/>
              </w:rPr>
              <w:t>mg/m</w:t>
            </w:r>
            <w:r>
              <w:rPr>
                <w:rFonts w:cs="Times New Roman"/>
                <w:color w:val="auto"/>
                <w:sz w:val="21"/>
                <w:szCs w:val="21"/>
                <w:vertAlign w:val="superscript"/>
              </w:rPr>
              <w:t>3</w:t>
            </w:r>
            <w:r>
              <w:rPr>
                <w:rFonts w:ascii="宋体" w:hAnsi="宋体" w:cs="Times New Roman"/>
                <w:color w:val="auto"/>
                <w:sz w:val="21"/>
                <w:szCs w:val="21"/>
              </w:rPr>
              <w:t>）</w:t>
            </w:r>
          </w:p>
        </w:tc>
        <w:tc>
          <w:tcPr>
            <w:tcW w:w="866" w:type="dxa"/>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cs="Times New Roman"/>
                <w:color w:val="auto"/>
                <w:sz w:val="21"/>
                <w:szCs w:val="21"/>
              </w:rPr>
              <w:t>21.7</w:t>
            </w:r>
          </w:p>
        </w:tc>
        <w:tc>
          <w:tcPr>
            <w:tcW w:w="865" w:type="dxa"/>
            <w:gridSpan w:val="2"/>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cs="Times New Roman"/>
                <w:color w:val="auto"/>
                <w:sz w:val="21"/>
                <w:szCs w:val="21"/>
              </w:rPr>
              <w:t>21.2</w:t>
            </w:r>
          </w:p>
        </w:tc>
        <w:tc>
          <w:tcPr>
            <w:tcW w:w="868" w:type="dxa"/>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cs="Times New Roman"/>
                <w:color w:val="auto"/>
                <w:sz w:val="21"/>
                <w:szCs w:val="21"/>
              </w:rPr>
              <w:t>20.6</w:t>
            </w:r>
          </w:p>
        </w:tc>
        <w:tc>
          <w:tcPr>
            <w:tcW w:w="685" w:type="dxa"/>
            <w:tcBorders>
              <w:top w:val="single" w:color="000000" w:sz="4" w:space="0"/>
              <w:left w:val="nil"/>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30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242"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207" w:type="dxa"/>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iCs/>
                <w:color w:val="auto"/>
                <w:kern w:val="0"/>
                <w:sz w:val="21"/>
                <w:szCs w:val="21"/>
              </w:rPr>
            </w:pPr>
          </w:p>
        </w:tc>
        <w:tc>
          <w:tcPr>
            <w:tcW w:w="1018" w:type="dxa"/>
            <w:gridSpan w:val="2"/>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iCs/>
                <w:color w:val="auto"/>
                <w:kern w:val="0"/>
                <w:sz w:val="21"/>
                <w:szCs w:val="21"/>
              </w:rPr>
            </w:pPr>
          </w:p>
        </w:tc>
        <w:tc>
          <w:tcPr>
            <w:tcW w:w="1771" w:type="dxa"/>
            <w:gridSpan w:val="2"/>
            <w:tcBorders>
              <w:top w:val="single" w:color="000000" w:sz="4" w:space="0"/>
              <w:left w:val="nil"/>
              <w:bottom w:val="single" w:color="000000" w:sz="4" w:space="0"/>
              <w:right w:val="single" w:color="auto" w:sz="4" w:space="0"/>
            </w:tcBorders>
            <w:vAlign w:val="center"/>
          </w:tcPr>
          <w:p>
            <w:pPr>
              <w:autoSpaceDE w:val="0"/>
              <w:adjustRightInd w:val="0"/>
              <w:spacing w:line="240" w:lineRule="auto"/>
              <w:ind w:firstLine="0" w:firstLineChars="0"/>
              <w:jc w:val="center"/>
              <w:rPr>
                <w:rFonts w:cs="Times New Roman"/>
                <w:iCs/>
                <w:color w:val="auto"/>
                <w:kern w:val="0"/>
                <w:sz w:val="21"/>
                <w:szCs w:val="21"/>
              </w:rPr>
            </w:pPr>
            <w:r>
              <w:rPr>
                <w:rFonts w:ascii="宋体" w:hAnsi="宋体" w:cs="Times New Roman"/>
                <w:iCs/>
                <w:color w:val="auto"/>
                <w:kern w:val="0"/>
                <w:sz w:val="21"/>
                <w:szCs w:val="21"/>
              </w:rPr>
              <w:t>排放速率（</w:t>
            </w:r>
            <w:r>
              <w:rPr>
                <w:rFonts w:cs="Times New Roman"/>
                <w:iCs/>
                <w:color w:val="auto"/>
                <w:kern w:val="0"/>
                <w:sz w:val="21"/>
                <w:szCs w:val="21"/>
              </w:rPr>
              <w:t>kg/h</w:t>
            </w:r>
            <w:r>
              <w:rPr>
                <w:rFonts w:ascii="宋体" w:hAnsi="宋体" w:cs="Times New Roman"/>
                <w:iCs/>
                <w:color w:val="auto"/>
                <w:kern w:val="0"/>
                <w:sz w:val="21"/>
                <w:szCs w:val="21"/>
              </w:rPr>
              <w:t>）</w:t>
            </w:r>
          </w:p>
        </w:tc>
        <w:tc>
          <w:tcPr>
            <w:tcW w:w="866" w:type="dxa"/>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0.68 </w:t>
            </w:r>
          </w:p>
        </w:tc>
        <w:tc>
          <w:tcPr>
            <w:tcW w:w="865" w:type="dxa"/>
            <w:gridSpan w:val="2"/>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0.66 </w:t>
            </w:r>
          </w:p>
        </w:tc>
        <w:tc>
          <w:tcPr>
            <w:tcW w:w="868" w:type="dxa"/>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0.64 </w:t>
            </w:r>
          </w:p>
        </w:tc>
        <w:tc>
          <w:tcPr>
            <w:tcW w:w="685" w:type="dxa"/>
            <w:tcBorders>
              <w:top w:val="single" w:color="000000" w:sz="4" w:space="0"/>
              <w:left w:val="nil"/>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1.45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242"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207" w:type="dxa"/>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iCs/>
                <w:color w:val="auto"/>
                <w:kern w:val="0"/>
                <w:sz w:val="21"/>
                <w:szCs w:val="21"/>
              </w:rPr>
            </w:pPr>
          </w:p>
        </w:tc>
        <w:tc>
          <w:tcPr>
            <w:tcW w:w="1018" w:type="dxa"/>
            <w:gridSpan w:val="2"/>
            <w:vMerge w:val="restart"/>
            <w:tcBorders>
              <w:top w:val="nil"/>
              <w:left w:val="nil"/>
              <w:bottom w:val="single" w:color="000000" w:sz="4" w:space="0"/>
              <w:right w:val="single" w:color="auto" w:sz="4" w:space="0"/>
            </w:tcBorders>
            <w:vAlign w:val="center"/>
          </w:tcPr>
          <w:p>
            <w:pPr>
              <w:autoSpaceDE w:val="0"/>
              <w:spacing w:line="240" w:lineRule="auto"/>
              <w:ind w:firstLine="0" w:firstLineChars="0"/>
              <w:jc w:val="center"/>
              <w:rPr>
                <w:rFonts w:cs="Times New Roman"/>
                <w:iCs/>
                <w:color w:val="auto"/>
                <w:kern w:val="0"/>
                <w:sz w:val="21"/>
                <w:szCs w:val="21"/>
              </w:rPr>
            </w:pPr>
            <w:r>
              <w:rPr>
                <w:rFonts w:ascii="宋体" w:hAnsi="宋体" w:cs="Times New Roman"/>
                <w:color w:val="auto"/>
                <w:sz w:val="21"/>
                <w:szCs w:val="21"/>
              </w:rPr>
              <w:t>二氧化硫</w:t>
            </w:r>
          </w:p>
        </w:tc>
        <w:tc>
          <w:tcPr>
            <w:tcW w:w="1771" w:type="dxa"/>
            <w:gridSpan w:val="2"/>
            <w:tcBorders>
              <w:top w:val="single" w:color="000000" w:sz="4" w:space="0"/>
              <w:left w:val="nil"/>
              <w:bottom w:val="single" w:color="000000"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ascii="宋体" w:hAnsi="宋体" w:cs="Times New Roman"/>
                <w:color w:val="auto"/>
                <w:sz w:val="21"/>
                <w:szCs w:val="21"/>
              </w:rPr>
              <w:t>实测浓度（</w:t>
            </w:r>
            <w:r>
              <w:rPr>
                <w:rFonts w:cs="Times New Roman"/>
                <w:color w:val="auto"/>
                <w:sz w:val="21"/>
                <w:szCs w:val="21"/>
              </w:rPr>
              <w:t>mg/m</w:t>
            </w:r>
            <w:r>
              <w:rPr>
                <w:rFonts w:cs="Times New Roman"/>
                <w:color w:val="auto"/>
                <w:sz w:val="21"/>
                <w:szCs w:val="21"/>
                <w:vertAlign w:val="superscript"/>
              </w:rPr>
              <w:t>3</w:t>
            </w:r>
            <w:r>
              <w:rPr>
                <w:rFonts w:ascii="宋体" w:hAnsi="宋体" w:cs="Times New Roman"/>
                <w:color w:val="auto"/>
                <w:sz w:val="21"/>
                <w:szCs w:val="21"/>
              </w:rPr>
              <w:t>）</w:t>
            </w:r>
          </w:p>
        </w:tc>
        <w:tc>
          <w:tcPr>
            <w:tcW w:w="866" w:type="dxa"/>
            <w:tcBorders>
              <w:top w:val="single" w:color="000000" w:sz="4" w:space="0"/>
              <w:left w:val="nil"/>
              <w:bottom w:val="single" w:color="auto"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ND</w:t>
            </w:r>
          </w:p>
        </w:tc>
        <w:tc>
          <w:tcPr>
            <w:tcW w:w="865" w:type="dxa"/>
            <w:gridSpan w:val="2"/>
            <w:tcBorders>
              <w:top w:val="single" w:color="000000" w:sz="4" w:space="0"/>
              <w:left w:val="nil"/>
              <w:bottom w:val="single" w:color="auto"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ND</w:t>
            </w:r>
          </w:p>
        </w:tc>
        <w:tc>
          <w:tcPr>
            <w:tcW w:w="868" w:type="dxa"/>
            <w:tcBorders>
              <w:top w:val="single" w:color="000000" w:sz="4" w:space="0"/>
              <w:left w:val="nil"/>
              <w:bottom w:val="single" w:color="auto"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ND</w:t>
            </w:r>
          </w:p>
        </w:tc>
        <w:tc>
          <w:tcPr>
            <w:tcW w:w="685" w:type="dxa"/>
            <w:tcBorders>
              <w:top w:val="single" w:color="000000" w:sz="4" w:space="0"/>
              <w:left w:val="nil"/>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200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242"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207" w:type="dxa"/>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iCs/>
                <w:color w:val="auto"/>
                <w:kern w:val="0"/>
                <w:sz w:val="21"/>
                <w:szCs w:val="21"/>
              </w:rPr>
            </w:pPr>
          </w:p>
        </w:tc>
        <w:tc>
          <w:tcPr>
            <w:tcW w:w="1018" w:type="dxa"/>
            <w:gridSpan w:val="2"/>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iCs/>
                <w:color w:val="auto"/>
                <w:kern w:val="0"/>
                <w:sz w:val="21"/>
                <w:szCs w:val="21"/>
              </w:rPr>
            </w:pPr>
          </w:p>
        </w:tc>
        <w:tc>
          <w:tcPr>
            <w:tcW w:w="1771" w:type="dxa"/>
            <w:gridSpan w:val="2"/>
            <w:tcBorders>
              <w:top w:val="single" w:color="000000" w:sz="4" w:space="0"/>
              <w:left w:val="nil"/>
              <w:bottom w:val="single" w:color="000000" w:sz="4" w:space="0"/>
              <w:right w:val="single" w:color="auto" w:sz="4" w:space="0"/>
            </w:tcBorders>
            <w:vAlign w:val="center"/>
          </w:tcPr>
          <w:p>
            <w:pPr>
              <w:autoSpaceDE w:val="0"/>
              <w:adjustRightInd w:val="0"/>
              <w:spacing w:line="240" w:lineRule="auto"/>
              <w:ind w:firstLine="0" w:firstLineChars="0"/>
              <w:jc w:val="center"/>
              <w:rPr>
                <w:rFonts w:cs="Times New Roman"/>
                <w:iCs/>
                <w:color w:val="auto"/>
                <w:kern w:val="0"/>
                <w:sz w:val="21"/>
                <w:szCs w:val="21"/>
              </w:rPr>
            </w:pPr>
            <w:r>
              <w:rPr>
                <w:rFonts w:ascii="宋体" w:hAnsi="宋体" w:cs="Times New Roman"/>
                <w:iCs/>
                <w:color w:val="auto"/>
                <w:kern w:val="0"/>
                <w:sz w:val="21"/>
                <w:szCs w:val="21"/>
              </w:rPr>
              <w:t>排放速率（</w:t>
            </w:r>
            <w:r>
              <w:rPr>
                <w:rFonts w:cs="Times New Roman"/>
                <w:iCs/>
                <w:color w:val="auto"/>
                <w:kern w:val="0"/>
                <w:sz w:val="21"/>
                <w:szCs w:val="21"/>
              </w:rPr>
              <w:t>kg/h</w:t>
            </w:r>
            <w:r>
              <w:rPr>
                <w:rFonts w:ascii="宋体" w:hAnsi="宋体" w:cs="Times New Roman"/>
                <w:iCs/>
                <w:color w:val="auto"/>
                <w:kern w:val="0"/>
                <w:sz w:val="21"/>
                <w:szCs w:val="21"/>
              </w:rPr>
              <w:t>）</w:t>
            </w:r>
          </w:p>
        </w:tc>
        <w:tc>
          <w:tcPr>
            <w:tcW w:w="866" w:type="dxa"/>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w:t>
            </w:r>
          </w:p>
        </w:tc>
        <w:tc>
          <w:tcPr>
            <w:tcW w:w="865" w:type="dxa"/>
            <w:gridSpan w:val="2"/>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w:t>
            </w:r>
          </w:p>
        </w:tc>
        <w:tc>
          <w:tcPr>
            <w:tcW w:w="868" w:type="dxa"/>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w:t>
            </w:r>
          </w:p>
        </w:tc>
        <w:tc>
          <w:tcPr>
            <w:tcW w:w="685" w:type="dxa"/>
            <w:tcBorders>
              <w:top w:val="single" w:color="000000" w:sz="4" w:space="0"/>
              <w:left w:val="nil"/>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242"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207" w:type="dxa"/>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iCs/>
                <w:color w:val="auto"/>
                <w:kern w:val="0"/>
                <w:sz w:val="21"/>
                <w:szCs w:val="21"/>
              </w:rPr>
            </w:pPr>
          </w:p>
        </w:tc>
        <w:tc>
          <w:tcPr>
            <w:tcW w:w="1018" w:type="dxa"/>
            <w:gridSpan w:val="2"/>
            <w:vMerge w:val="restart"/>
            <w:tcBorders>
              <w:top w:val="nil"/>
              <w:left w:val="nil"/>
              <w:bottom w:val="single" w:color="000000" w:sz="4" w:space="0"/>
              <w:right w:val="single" w:color="auto" w:sz="4" w:space="0"/>
            </w:tcBorders>
            <w:vAlign w:val="center"/>
          </w:tcPr>
          <w:p>
            <w:pPr>
              <w:autoSpaceDE w:val="0"/>
              <w:spacing w:line="240" w:lineRule="auto"/>
              <w:ind w:firstLine="0" w:firstLineChars="0"/>
              <w:jc w:val="center"/>
              <w:rPr>
                <w:rFonts w:cs="Times New Roman"/>
                <w:iCs/>
                <w:color w:val="auto"/>
                <w:kern w:val="0"/>
                <w:sz w:val="21"/>
                <w:szCs w:val="21"/>
              </w:rPr>
            </w:pPr>
            <w:r>
              <w:rPr>
                <w:rFonts w:ascii="宋体" w:hAnsi="宋体" w:cs="Times New Roman"/>
                <w:color w:val="auto"/>
                <w:sz w:val="21"/>
                <w:szCs w:val="21"/>
              </w:rPr>
              <w:t>氮氧化物</w:t>
            </w:r>
          </w:p>
        </w:tc>
        <w:tc>
          <w:tcPr>
            <w:tcW w:w="1771" w:type="dxa"/>
            <w:gridSpan w:val="2"/>
            <w:tcBorders>
              <w:top w:val="single" w:color="000000" w:sz="4" w:space="0"/>
              <w:left w:val="nil"/>
              <w:bottom w:val="single" w:color="000000"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ascii="宋体" w:hAnsi="宋体" w:cs="Times New Roman"/>
                <w:color w:val="auto"/>
                <w:sz w:val="21"/>
                <w:szCs w:val="21"/>
              </w:rPr>
              <w:t>实测浓度（</w:t>
            </w:r>
            <w:r>
              <w:rPr>
                <w:rFonts w:cs="Times New Roman"/>
                <w:color w:val="auto"/>
                <w:sz w:val="21"/>
                <w:szCs w:val="21"/>
              </w:rPr>
              <w:t>mg/m</w:t>
            </w:r>
            <w:r>
              <w:rPr>
                <w:rFonts w:cs="Times New Roman"/>
                <w:color w:val="auto"/>
                <w:sz w:val="21"/>
                <w:szCs w:val="21"/>
                <w:vertAlign w:val="superscript"/>
              </w:rPr>
              <w:t>3</w:t>
            </w:r>
            <w:r>
              <w:rPr>
                <w:rFonts w:ascii="宋体" w:hAnsi="宋体" w:cs="Times New Roman"/>
                <w:color w:val="auto"/>
                <w:sz w:val="21"/>
                <w:szCs w:val="21"/>
              </w:rPr>
              <w:t>）</w:t>
            </w:r>
          </w:p>
        </w:tc>
        <w:tc>
          <w:tcPr>
            <w:tcW w:w="866" w:type="dxa"/>
            <w:tcBorders>
              <w:top w:val="single" w:color="000000" w:sz="4" w:space="0"/>
              <w:left w:val="nil"/>
              <w:bottom w:val="single" w:color="auto"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ND</w:t>
            </w:r>
          </w:p>
        </w:tc>
        <w:tc>
          <w:tcPr>
            <w:tcW w:w="865" w:type="dxa"/>
            <w:gridSpan w:val="2"/>
            <w:tcBorders>
              <w:top w:val="single" w:color="000000" w:sz="4" w:space="0"/>
              <w:left w:val="nil"/>
              <w:bottom w:val="single" w:color="auto"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ND</w:t>
            </w:r>
          </w:p>
        </w:tc>
        <w:tc>
          <w:tcPr>
            <w:tcW w:w="868" w:type="dxa"/>
            <w:tcBorders>
              <w:top w:val="single" w:color="000000" w:sz="4" w:space="0"/>
              <w:left w:val="nil"/>
              <w:bottom w:val="single" w:color="auto"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ND</w:t>
            </w:r>
          </w:p>
        </w:tc>
        <w:tc>
          <w:tcPr>
            <w:tcW w:w="685" w:type="dxa"/>
            <w:tcBorders>
              <w:top w:val="single" w:color="000000" w:sz="4" w:space="0"/>
              <w:left w:val="nil"/>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300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64" w:hRule="atLeast"/>
          <w:jc w:val="center"/>
        </w:trPr>
        <w:tc>
          <w:tcPr>
            <w:tcW w:w="1242"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207" w:type="dxa"/>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iCs/>
                <w:color w:val="auto"/>
                <w:kern w:val="0"/>
                <w:sz w:val="21"/>
                <w:szCs w:val="21"/>
              </w:rPr>
            </w:pPr>
          </w:p>
        </w:tc>
        <w:tc>
          <w:tcPr>
            <w:tcW w:w="1018" w:type="dxa"/>
            <w:gridSpan w:val="2"/>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iCs/>
                <w:color w:val="auto"/>
                <w:kern w:val="0"/>
                <w:sz w:val="21"/>
                <w:szCs w:val="21"/>
              </w:rPr>
            </w:pPr>
          </w:p>
        </w:tc>
        <w:tc>
          <w:tcPr>
            <w:tcW w:w="1771" w:type="dxa"/>
            <w:gridSpan w:val="2"/>
            <w:tcBorders>
              <w:top w:val="single" w:color="000000" w:sz="4" w:space="0"/>
              <w:left w:val="nil"/>
              <w:bottom w:val="single" w:color="000000" w:sz="4" w:space="0"/>
              <w:right w:val="single" w:color="auto" w:sz="4" w:space="0"/>
            </w:tcBorders>
            <w:vAlign w:val="center"/>
          </w:tcPr>
          <w:p>
            <w:pPr>
              <w:autoSpaceDE w:val="0"/>
              <w:adjustRightInd w:val="0"/>
              <w:spacing w:line="240" w:lineRule="auto"/>
              <w:ind w:firstLine="0" w:firstLineChars="0"/>
              <w:jc w:val="center"/>
              <w:rPr>
                <w:rFonts w:cs="Times New Roman"/>
                <w:iCs/>
                <w:color w:val="auto"/>
                <w:kern w:val="0"/>
                <w:sz w:val="21"/>
                <w:szCs w:val="21"/>
              </w:rPr>
            </w:pPr>
            <w:r>
              <w:rPr>
                <w:rFonts w:ascii="宋体" w:hAnsi="宋体" w:cs="Times New Roman"/>
                <w:iCs/>
                <w:color w:val="auto"/>
                <w:kern w:val="0"/>
                <w:sz w:val="21"/>
                <w:szCs w:val="21"/>
              </w:rPr>
              <w:t>排放速率（</w:t>
            </w:r>
            <w:r>
              <w:rPr>
                <w:rFonts w:cs="Times New Roman"/>
                <w:iCs/>
                <w:color w:val="auto"/>
                <w:kern w:val="0"/>
                <w:sz w:val="21"/>
                <w:szCs w:val="21"/>
              </w:rPr>
              <w:t>kg/h</w:t>
            </w:r>
            <w:r>
              <w:rPr>
                <w:rFonts w:ascii="宋体" w:hAnsi="宋体" w:cs="Times New Roman"/>
                <w:iCs/>
                <w:color w:val="auto"/>
                <w:kern w:val="0"/>
                <w:sz w:val="21"/>
                <w:szCs w:val="21"/>
              </w:rPr>
              <w:t>）</w:t>
            </w:r>
          </w:p>
        </w:tc>
        <w:tc>
          <w:tcPr>
            <w:tcW w:w="866" w:type="dxa"/>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w:t>
            </w:r>
          </w:p>
        </w:tc>
        <w:tc>
          <w:tcPr>
            <w:tcW w:w="865" w:type="dxa"/>
            <w:gridSpan w:val="2"/>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w:t>
            </w:r>
          </w:p>
        </w:tc>
        <w:tc>
          <w:tcPr>
            <w:tcW w:w="868" w:type="dxa"/>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w:t>
            </w:r>
          </w:p>
        </w:tc>
        <w:tc>
          <w:tcPr>
            <w:tcW w:w="685" w:type="dxa"/>
            <w:tcBorders>
              <w:top w:val="single" w:color="000000" w:sz="4" w:space="0"/>
              <w:left w:val="nil"/>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242"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207" w:type="dxa"/>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iCs/>
                <w:color w:val="auto"/>
                <w:kern w:val="0"/>
                <w:sz w:val="21"/>
                <w:szCs w:val="21"/>
              </w:rPr>
            </w:pPr>
          </w:p>
        </w:tc>
        <w:tc>
          <w:tcPr>
            <w:tcW w:w="2789" w:type="dxa"/>
            <w:gridSpan w:val="4"/>
            <w:tcBorders>
              <w:top w:val="single" w:color="000000" w:sz="4" w:space="0"/>
              <w:left w:val="nil"/>
              <w:bottom w:val="single" w:color="000000"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ascii="宋体" w:hAnsi="宋体" w:cs="Times New Roman"/>
                <w:iCs/>
                <w:color w:val="auto"/>
                <w:kern w:val="0"/>
                <w:sz w:val="21"/>
                <w:szCs w:val="21"/>
              </w:rPr>
              <w:t>标干流量（</w:t>
            </w:r>
            <w:r>
              <w:rPr>
                <w:rFonts w:cs="Times New Roman"/>
                <w:iCs/>
                <w:color w:val="auto"/>
                <w:kern w:val="0"/>
                <w:sz w:val="21"/>
                <w:szCs w:val="21"/>
              </w:rPr>
              <w:t>m</w:t>
            </w:r>
            <w:r>
              <w:rPr>
                <w:rFonts w:cs="Times New Roman"/>
                <w:iCs/>
                <w:color w:val="auto"/>
                <w:kern w:val="0"/>
                <w:sz w:val="21"/>
                <w:szCs w:val="21"/>
                <w:vertAlign w:val="superscript"/>
              </w:rPr>
              <w:t>3</w:t>
            </w:r>
            <w:r>
              <w:rPr>
                <w:rFonts w:cs="Times New Roman"/>
                <w:iCs/>
                <w:color w:val="auto"/>
                <w:kern w:val="0"/>
                <w:sz w:val="21"/>
                <w:szCs w:val="21"/>
              </w:rPr>
              <w:t>/h</w:t>
            </w:r>
            <w:r>
              <w:rPr>
                <w:rFonts w:ascii="宋体" w:hAnsi="宋体" w:cs="Times New Roman"/>
                <w:iCs/>
                <w:color w:val="auto"/>
                <w:kern w:val="0"/>
                <w:sz w:val="21"/>
                <w:szCs w:val="21"/>
              </w:rPr>
              <w:t>）</w:t>
            </w:r>
          </w:p>
        </w:tc>
        <w:tc>
          <w:tcPr>
            <w:tcW w:w="866" w:type="dxa"/>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cs="Times New Roman"/>
                <w:color w:val="auto"/>
                <w:sz w:val="21"/>
                <w:szCs w:val="21"/>
              </w:rPr>
              <w:t>31293</w:t>
            </w:r>
          </w:p>
        </w:tc>
        <w:tc>
          <w:tcPr>
            <w:tcW w:w="865" w:type="dxa"/>
            <w:gridSpan w:val="2"/>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cs="Times New Roman"/>
                <w:color w:val="auto"/>
                <w:sz w:val="21"/>
                <w:szCs w:val="21"/>
              </w:rPr>
              <w:t>31312</w:t>
            </w:r>
          </w:p>
        </w:tc>
        <w:tc>
          <w:tcPr>
            <w:tcW w:w="868" w:type="dxa"/>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cs="Times New Roman"/>
                <w:color w:val="auto"/>
                <w:sz w:val="21"/>
                <w:szCs w:val="21"/>
              </w:rPr>
              <w:t>31186</w:t>
            </w:r>
          </w:p>
        </w:tc>
        <w:tc>
          <w:tcPr>
            <w:tcW w:w="685" w:type="dxa"/>
            <w:tcBorders>
              <w:top w:val="single" w:color="000000" w:sz="4" w:space="0"/>
              <w:left w:val="nil"/>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2288" w:hRule="atLeast"/>
          <w:jc w:val="center"/>
        </w:trPr>
        <w:tc>
          <w:tcPr>
            <w:tcW w:w="8522" w:type="dxa"/>
            <w:gridSpan w:val="11"/>
            <w:tcBorders>
              <w:top w:val="single" w:color="000000" w:sz="4" w:space="0"/>
              <w:left w:val="single" w:color="000000" w:sz="4" w:space="0"/>
              <w:bottom w:val="single" w:color="000000" w:sz="4" w:space="0"/>
              <w:right w:val="single" w:color="auto" w:sz="4" w:space="0"/>
            </w:tcBorders>
            <w:vAlign w:val="center"/>
          </w:tcPr>
          <w:p>
            <w:pPr>
              <w:autoSpaceDE w:val="0"/>
              <w:autoSpaceDN w:val="0"/>
              <w:adjustRightInd w:val="0"/>
              <w:spacing w:line="240" w:lineRule="auto"/>
              <w:ind w:left="945" w:hanging="945" w:hangingChars="450"/>
              <w:jc w:val="left"/>
              <w:rPr>
                <w:rFonts w:cs="Times New Roman"/>
                <w:color w:val="auto"/>
                <w:sz w:val="21"/>
                <w:szCs w:val="21"/>
              </w:rPr>
            </w:pPr>
            <w:r>
              <w:rPr>
                <w:rFonts w:ascii="宋体" w:hAnsi="宋体" w:cs="Times New Roman"/>
                <w:color w:val="auto"/>
                <w:sz w:val="21"/>
                <w:szCs w:val="21"/>
              </w:rPr>
              <w:t>备注：</w:t>
            </w:r>
            <w:r>
              <w:rPr>
                <w:rFonts w:cs="Times New Roman"/>
                <w:color w:val="auto"/>
                <w:sz w:val="21"/>
                <w:szCs w:val="21"/>
              </w:rPr>
              <w:t>1</w:t>
            </w:r>
            <w:r>
              <w:rPr>
                <w:rFonts w:ascii="宋体" w:hAnsi="宋体" w:cs="Times New Roman"/>
                <w:color w:val="auto"/>
                <w:sz w:val="21"/>
                <w:szCs w:val="21"/>
              </w:rPr>
              <w:t>、</w:t>
            </w:r>
            <w:r>
              <w:rPr>
                <w:rFonts w:ascii="宋体" w:hAnsi="宋体" w:cs="Times New Roman"/>
                <w:color w:val="auto"/>
                <w:kern w:val="0"/>
                <w:sz w:val="21"/>
                <w:szCs w:val="21"/>
              </w:rPr>
              <w:t>总</w:t>
            </w:r>
            <w:r>
              <w:rPr>
                <w:rFonts w:cs="Times New Roman"/>
                <w:color w:val="auto"/>
                <w:kern w:val="0"/>
                <w:sz w:val="21"/>
                <w:szCs w:val="21"/>
              </w:rPr>
              <w:t>VOCs</w:t>
            </w:r>
            <w:r>
              <w:rPr>
                <w:rFonts w:ascii="宋体" w:hAnsi="宋体" w:cs="Times New Roman"/>
                <w:color w:val="auto"/>
                <w:kern w:val="0"/>
                <w:sz w:val="21"/>
                <w:szCs w:val="21"/>
              </w:rPr>
              <w:t>、二甲苯</w:t>
            </w:r>
            <w:r>
              <w:rPr>
                <w:rFonts w:ascii="宋体" w:hAnsi="宋体" w:cs="Times New Roman"/>
                <w:color w:val="auto"/>
                <w:sz w:val="21"/>
                <w:szCs w:val="21"/>
              </w:rPr>
              <w:t>执行广东省《固定污染源挥发性有机物综合排放标准》（</w:t>
            </w:r>
            <w:r>
              <w:rPr>
                <w:rFonts w:cs="Times New Roman"/>
                <w:color w:val="auto"/>
                <w:sz w:val="21"/>
                <w:szCs w:val="21"/>
              </w:rPr>
              <w:t>DB44/ 2367—2022</w:t>
            </w:r>
            <w:r>
              <w:rPr>
                <w:rFonts w:ascii="宋体" w:hAnsi="宋体" w:cs="Times New Roman"/>
                <w:color w:val="auto"/>
                <w:sz w:val="21"/>
                <w:szCs w:val="21"/>
              </w:rPr>
              <w:t>）表</w:t>
            </w:r>
            <w:r>
              <w:rPr>
                <w:rFonts w:cs="Times New Roman"/>
                <w:color w:val="auto"/>
                <w:sz w:val="21"/>
                <w:szCs w:val="21"/>
              </w:rPr>
              <w:t>1</w:t>
            </w:r>
            <w:r>
              <w:rPr>
                <w:rFonts w:ascii="宋体" w:hAnsi="宋体" w:cs="Times New Roman"/>
                <w:color w:val="auto"/>
                <w:sz w:val="21"/>
                <w:szCs w:val="21"/>
              </w:rPr>
              <w:t>中有机废气的最高允许浓度限值；颗粒物执行《关于印发〈工业炉窑大气污染综合治理方案〉的通知》（环大气〔</w:t>
            </w:r>
            <w:r>
              <w:rPr>
                <w:rFonts w:cs="Times New Roman"/>
                <w:color w:val="auto"/>
                <w:sz w:val="21"/>
                <w:szCs w:val="21"/>
              </w:rPr>
              <w:t>2019</w:t>
            </w:r>
            <w:r>
              <w:rPr>
                <w:rFonts w:ascii="宋体" w:hAnsi="宋体" w:cs="Times New Roman"/>
                <w:color w:val="auto"/>
                <w:sz w:val="21"/>
                <w:szCs w:val="21"/>
              </w:rPr>
              <w:t>〕</w:t>
            </w:r>
            <w:r>
              <w:rPr>
                <w:rFonts w:cs="Times New Roman"/>
                <w:color w:val="auto"/>
                <w:sz w:val="21"/>
                <w:szCs w:val="21"/>
              </w:rPr>
              <w:t>56</w:t>
            </w:r>
            <w:r>
              <w:rPr>
                <w:rFonts w:ascii="宋体" w:hAnsi="宋体" w:cs="Times New Roman"/>
                <w:color w:val="auto"/>
                <w:sz w:val="21"/>
                <w:szCs w:val="21"/>
              </w:rPr>
              <w:t>号）重点区域排放限值和广东省《大气污染物排放限值》（</w:t>
            </w:r>
            <w:r>
              <w:rPr>
                <w:rFonts w:cs="Times New Roman"/>
                <w:color w:val="auto"/>
                <w:sz w:val="21"/>
                <w:szCs w:val="21"/>
              </w:rPr>
              <w:t>DB44/27-2001</w:t>
            </w:r>
            <w:r>
              <w:rPr>
                <w:rFonts w:ascii="宋体" w:hAnsi="宋体" w:cs="Times New Roman"/>
                <w:color w:val="auto"/>
                <w:sz w:val="21"/>
                <w:szCs w:val="21"/>
              </w:rPr>
              <w:t>）第二时段二级标准（排放速率按</w:t>
            </w:r>
            <w:r>
              <w:rPr>
                <w:rFonts w:cs="Times New Roman"/>
                <w:color w:val="auto"/>
                <w:sz w:val="21"/>
                <w:szCs w:val="21"/>
              </w:rPr>
              <w:t>50%</w:t>
            </w:r>
            <w:r>
              <w:rPr>
                <w:rFonts w:ascii="宋体" w:hAnsi="宋体" w:cs="Times New Roman"/>
                <w:color w:val="auto"/>
                <w:sz w:val="21"/>
                <w:szCs w:val="21"/>
              </w:rPr>
              <w:t>执行）的较严值；二氧化硫、氮氧化物执行《关于印发〈工业炉窑大气污染综合治理方案〉的通知》（环大气〔</w:t>
            </w:r>
            <w:r>
              <w:rPr>
                <w:rFonts w:cs="Times New Roman"/>
                <w:color w:val="auto"/>
                <w:sz w:val="21"/>
                <w:szCs w:val="21"/>
              </w:rPr>
              <w:t>2019</w:t>
            </w:r>
            <w:r>
              <w:rPr>
                <w:rFonts w:ascii="宋体" w:hAnsi="宋体" w:cs="Times New Roman"/>
                <w:color w:val="auto"/>
                <w:sz w:val="21"/>
                <w:szCs w:val="21"/>
              </w:rPr>
              <w:t>〕</w:t>
            </w:r>
            <w:r>
              <w:rPr>
                <w:rFonts w:cs="Times New Roman"/>
                <w:color w:val="auto"/>
                <w:sz w:val="21"/>
                <w:szCs w:val="21"/>
              </w:rPr>
              <w:t>56</w:t>
            </w:r>
            <w:r>
              <w:rPr>
                <w:rFonts w:ascii="宋体" w:hAnsi="宋体" w:cs="Times New Roman"/>
                <w:color w:val="auto"/>
                <w:sz w:val="21"/>
                <w:szCs w:val="21"/>
              </w:rPr>
              <w:t>号）重点区域排放限值要求；</w:t>
            </w:r>
          </w:p>
          <w:p>
            <w:pPr>
              <w:spacing w:line="240" w:lineRule="auto"/>
              <w:ind w:firstLine="630" w:firstLineChars="300"/>
              <w:rPr>
                <w:rFonts w:cs="Times New Roman"/>
                <w:color w:val="auto"/>
                <w:sz w:val="21"/>
                <w:szCs w:val="21"/>
              </w:rPr>
            </w:pPr>
            <w:r>
              <w:rPr>
                <w:rFonts w:cs="Times New Roman"/>
                <w:color w:val="auto"/>
                <w:sz w:val="21"/>
                <w:szCs w:val="21"/>
              </w:rPr>
              <w:t>2</w:t>
            </w:r>
            <w:r>
              <w:rPr>
                <w:rFonts w:hint="eastAsia" w:ascii="宋体" w:hAnsi="宋体" w:cs="Times New Roman"/>
                <w:color w:val="auto"/>
                <w:sz w:val="21"/>
                <w:szCs w:val="21"/>
              </w:rPr>
              <w:t>、</w:t>
            </w:r>
            <w:r>
              <w:rPr>
                <w:rFonts w:cs="Times New Roman"/>
                <w:color w:val="auto"/>
                <w:sz w:val="21"/>
                <w:szCs w:val="21"/>
              </w:rPr>
              <w:t>ND</w:t>
            </w:r>
            <w:r>
              <w:rPr>
                <w:rFonts w:ascii="宋体" w:hAnsi="宋体" w:cs="Times New Roman"/>
                <w:color w:val="auto"/>
                <w:sz w:val="21"/>
                <w:szCs w:val="21"/>
              </w:rPr>
              <w:t>为未检出；</w:t>
            </w:r>
          </w:p>
          <w:p>
            <w:pPr>
              <w:spacing w:line="240" w:lineRule="auto"/>
              <w:ind w:firstLine="630" w:firstLineChars="300"/>
              <w:rPr>
                <w:rFonts w:cs="Times New Roman"/>
                <w:b/>
                <w:bCs/>
                <w:color w:val="auto"/>
                <w:sz w:val="21"/>
                <w:szCs w:val="21"/>
              </w:rPr>
            </w:pPr>
            <w:r>
              <w:rPr>
                <w:rFonts w:hint="eastAsia" w:cs="Times New Roman"/>
                <w:color w:val="auto"/>
                <w:sz w:val="21"/>
                <w:szCs w:val="21"/>
              </w:rPr>
              <w:t>3</w:t>
            </w:r>
            <w:r>
              <w:rPr>
                <w:rFonts w:ascii="宋体" w:hAnsi="宋体" w:cs="Times New Roman"/>
                <w:color w:val="auto"/>
                <w:sz w:val="21"/>
                <w:szCs w:val="21"/>
              </w:rPr>
              <w:t>、本报告结果只对当时采集的样品负责。</w:t>
            </w:r>
          </w:p>
        </w:tc>
      </w:tr>
    </w:tbl>
    <w:p>
      <w:pPr>
        <w:pStyle w:val="37"/>
        <w:rPr>
          <w:color w:val="auto"/>
        </w:rPr>
      </w:pPr>
      <w:r>
        <w:rPr>
          <w:rFonts w:hint="eastAsia"/>
          <w:color w:val="auto"/>
        </w:rPr>
        <w:t>表 9.1</w:t>
      </w:r>
      <w:r>
        <w:rPr>
          <w:color w:val="auto"/>
        </w:rPr>
        <w:noBreakHyphen/>
      </w:r>
      <w:r>
        <w:rPr>
          <w:rFonts w:hint="eastAsia"/>
          <w:color w:val="auto"/>
        </w:rPr>
        <w:t>3</w:t>
      </w:r>
      <w:r>
        <w:rPr>
          <w:color w:val="auto"/>
        </w:rPr>
        <w:t xml:space="preserve"> </w:t>
      </w:r>
      <w:r>
        <w:rPr>
          <w:rFonts w:hint="eastAsia"/>
          <w:color w:val="auto"/>
        </w:rPr>
        <w:t>有组织废气检测结果（2）</w:t>
      </w:r>
    </w:p>
    <w:tbl>
      <w:tblPr>
        <w:tblStyle w:val="24"/>
        <w:tblW w:w="8522"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243"/>
        <w:gridCol w:w="1385"/>
        <w:gridCol w:w="769"/>
        <w:gridCol w:w="60"/>
        <w:gridCol w:w="1713"/>
        <w:gridCol w:w="70"/>
        <w:gridCol w:w="866"/>
        <w:gridCol w:w="648"/>
        <w:gridCol w:w="218"/>
        <w:gridCol w:w="868"/>
        <w:gridCol w:w="68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54" w:hRule="atLeast"/>
          <w:jc w:val="center"/>
        </w:trPr>
        <w:tc>
          <w:tcPr>
            <w:tcW w:w="8522" w:type="dxa"/>
            <w:gridSpan w:val="11"/>
            <w:tcBorders>
              <w:top w:val="single" w:color="000000" w:sz="4" w:space="0"/>
              <w:left w:val="single" w:color="000000" w:sz="4" w:space="0"/>
              <w:bottom w:val="single" w:color="auto" w:sz="4" w:space="0"/>
              <w:right w:val="single" w:color="auto" w:sz="4" w:space="0"/>
            </w:tcBorders>
            <w:vAlign w:val="center"/>
          </w:tcPr>
          <w:p>
            <w:pPr>
              <w:adjustRightInd w:val="0"/>
              <w:spacing w:line="240" w:lineRule="auto"/>
              <w:ind w:firstLine="482" w:firstLineChars="0"/>
              <w:jc w:val="center"/>
              <w:rPr>
                <w:rFonts w:cs="Times New Roman"/>
                <w:b/>
                <w:bCs/>
                <w:color w:val="auto"/>
                <w:sz w:val="21"/>
                <w:szCs w:val="21"/>
              </w:rPr>
            </w:pPr>
            <w:r>
              <w:rPr>
                <w:rFonts w:ascii="宋体" w:hAnsi="宋体" w:cs="Times New Roman"/>
                <w:b/>
                <w:bCs/>
                <w:color w:val="auto"/>
                <w:sz w:val="21"/>
                <w:szCs w:val="21"/>
              </w:rPr>
              <w:t>污染源排放参数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54" w:hRule="atLeast"/>
          <w:jc w:val="center"/>
        </w:trPr>
        <w:tc>
          <w:tcPr>
            <w:tcW w:w="3397" w:type="dxa"/>
            <w:gridSpan w:val="3"/>
            <w:tcBorders>
              <w:top w:val="single" w:color="auto" w:sz="4" w:space="0"/>
              <w:left w:val="single" w:color="000000" w:sz="4" w:space="0"/>
              <w:bottom w:val="single" w:color="auto" w:sz="4" w:space="0"/>
              <w:right w:val="single" w:color="auto" w:sz="4" w:space="0"/>
            </w:tcBorders>
            <w:vAlign w:val="center"/>
          </w:tcPr>
          <w:p>
            <w:pPr>
              <w:autoSpaceDE w:val="0"/>
              <w:spacing w:line="240" w:lineRule="auto"/>
              <w:ind w:firstLine="0" w:firstLineChars="0"/>
              <w:jc w:val="center"/>
              <w:rPr>
                <w:rFonts w:cs="Times New Roman"/>
                <w:b/>
                <w:bCs/>
                <w:color w:val="auto"/>
                <w:sz w:val="21"/>
                <w:szCs w:val="21"/>
              </w:rPr>
            </w:pPr>
            <w:r>
              <w:rPr>
                <w:rFonts w:ascii="宋体" w:hAnsi="宋体" w:cs="Times New Roman"/>
                <w:b/>
                <w:bCs/>
                <w:iCs/>
                <w:color w:val="auto"/>
                <w:sz w:val="21"/>
                <w:szCs w:val="21"/>
              </w:rPr>
              <w:t>检测点位</w:t>
            </w:r>
          </w:p>
        </w:tc>
        <w:tc>
          <w:tcPr>
            <w:tcW w:w="1773" w:type="dxa"/>
            <w:gridSpan w:val="2"/>
            <w:tcBorders>
              <w:top w:val="single" w:color="auto" w:sz="4" w:space="0"/>
              <w:left w:val="nil"/>
              <w:bottom w:val="single" w:color="auto" w:sz="4" w:space="0"/>
              <w:right w:val="single" w:color="auto" w:sz="4" w:space="0"/>
            </w:tcBorders>
            <w:vAlign w:val="center"/>
          </w:tcPr>
          <w:p>
            <w:pPr>
              <w:autoSpaceDE w:val="0"/>
              <w:spacing w:line="240" w:lineRule="auto"/>
              <w:ind w:firstLine="0" w:firstLineChars="0"/>
              <w:jc w:val="center"/>
              <w:rPr>
                <w:rFonts w:cs="Times New Roman"/>
                <w:b/>
                <w:bCs/>
                <w:color w:val="auto"/>
                <w:sz w:val="21"/>
                <w:szCs w:val="21"/>
              </w:rPr>
            </w:pPr>
            <w:r>
              <w:rPr>
                <w:rFonts w:ascii="宋体" w:hAnsi="宋体" w:cs="Times New Roman"/>
                <w:b/>
                <w:bCs/>
                <w:iCs/>
                <w:color w:val="auto"/>
                <w:sz w:val="21"/>
                <w:szCs w:val="21"/>
              </w:rPr>
              <w:t>排气筒高度（</w:t>
            </w:r>
            <w:r>
              <w:rPr>
                <w:rFonts w:cs="Times New Roman"/>
                <w:b/>
                <w:bCs/>
                <w:iCs/>
                <w:color w:val="auto"/>
                <w:sz w:val="21"/>
                <w:szCs w:val="21"/>
              </w:rPr>
              <w:t>m</w:t>
            </w:r>
            <w:r>
              <w:rPr>
                <w:rFonts w:ascii="宋体" w:hAnsi="宋体" w:cs="Times New Roman"/>
                <w:b/>
                <w:bCs/>
                <w:iCs/>
                <w:color w:val="auto"/>
                <w:sz w:val="21"/>
                <w:szCs w:val="21"/>
              </w:rPr>
              <w:t>）</w:t>
            </w:r>
          </w:p>
        </w:tc>
        <w:tc>
          <w:tcPr>
            <w:tcW w:w="1584" w:type="dxa"/>
            <w:gridSpan w:val="3"/>
            <w:tcBorders>
              <w:top w:val="single" w:color="auto" w:sz="4" w:space="0"/>
              <w:left w:val="nil"/>
              <w:bottom w:val="single" w:color="auto" w:sz="4" w:space="0"/>
              <w:right w:val="single" w:color="auto" w:sz="4" w:space="0"/>
            </w:tcBorders>
            <w:vAlign w:val="center"/>
          </w:tcPr>
          <w:p>
            <w:pPr>
              <w:autoSpaceDE w:val="0"/>
              <w:spacing w:line="240" w:lineRule="auto"/>
              <w:ind w:firstLine="0" w:firstLineChars="0"/>
              <w:jc w:val="center"/>
              <w:rPr>
                <w:rFonts w:cs="Times New Roman"/>
                <w:b/>
                <w:bCs/>
                <w:color w:val="auto"/>
                <w:sz w:val="21"/>
                <w:szCs w:val="21"/>
              </w:rPr>
            </w:pPr>
            <w:r>
              <w:rPr>
                <w:rFonts w:ascii="宋体" w:hAnsi="宋体" w:cs="Times New Roman"/>
                <w:b/>
                <w:bCs/>
                <w:iCs/>
                <w:color w:val="auto"/>
                <w:sz w:val="21"/>
                <w:szCs w:val="21"/>
              </w:rPr>
              <w:t>截面积（</w:t>
            </w:r>
            <w:r>
              <w:rPr>
                <w:rFonts w:cs="Times New Roman"/>
                <w:b/>
                <w:bCs/>
                <w:iCs/>
                <w:color w:val="auto"/>
                <w:sz w:val="21"/>
                <w:szCs w:val="21"/>
              </w:rPr>
              <w:t>m</w:t>
            </w:r>
            <w:r>
              <w:rPr>
                <w:rFonts w:cs="Times New Roman"/>
                <w:b/>
                <w:bCs/>
                <w:iCs/>
                <w:color w:val="auto"/>
                <w:sz w:val="21"/>
                <w:szCs w:val="21"/>
                <w:vertAlign w:val="superscript"/>
              </w:rPr>
              <w:t>2</w:t>
            </w:r>
            <w:r>
              <w:rPr>
                <w:rFonts w:ascii="宋体" w:hAnsi="宋体" w:cs="Times New Roman"/>
                <w:b/>
                <w:bCs/>
                <w:iCs/>
                <w:color w:val="auto"/>
                <w:sz w:val="21"/>
                <w:szCs w:val="21"/>
              </w:rPr>
              <w:t>）</w:t>
            </w:r>
          </w:p>
        </w:tc>
        <w:tc>
          <w:tcPr>
            <w:tcW w:w="1768" w:type="dxa"/>
            <w:gridSpan w:val="3"/>
            <w:tcBorders>
              <w:top w:val="single" w:color="auto" w:sz="4" w:space="0"/>
              <w:left w:val="nil"/>
              <w:bottom w:val="single" w:color="auto" w:sz="4" w:space="0"/>
              <w:right w:val="single" w:color="auto" w:sz="4" w:space="0"/>
            </w:tcBorders>
            <w:vAlign w:val="center"/>
          </w:tcPr>
          <w:p>
            <w:pPr>
              <w:autoSpaceDE w:val="0"/>
              <w:spacing w:line="240" w:lineRule="auto"/>
              <w:ind w:firstLine="0" w:firstLineChars="0"/>
              <w:jc w:val="center"/>
              <w:rPr>
                <w:rFonts w:cs="Times New Roman"/>
                <w:b/>
                <w:bCs/>
                <w:color w:val="auto"/>
                <w:sz w:val="21"/>
                <w:szCs w:val="21"/>
              </w:rPr>
            </w:pPr>
            <w:r>
              <w:rPr>
                <w:rFonts w:ascii="宋体" w:hAnsi="宋体" w:cs="Times New Roman"/>
                <w:b/>
                <w:bCs/>
                <w:iCs/>
                <w:color w:val="auto"/>
                <w:sz w:val="21"/>
                <w:szCs w:val="21"/>
              </w:rPr>
              <w:t>处理设施</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54" w:hRule="atLeast"/>
          <w:jc w:val="center"/>
        </w:trPr>
        <w:tc>
          <w:tcPr>
            <w:tcW w:w="3397" w:type="dxa"/>
            <w:gridSpan w:val="3"/>
            <w:tcBorders>
              <w:top w:val="single" w:color="auto" w:sz="4" w:space="0"/>
              <w:left w:val="single" w:color="000000" w:sz="4" w:space="0"/>
              <w:bottom w:val="single" w:color="auto" w:sz="4" w:space="0"/>
              <w:right w:val="single" w:color="auto" w:sz="4" w:space="0"/>
            </w:tcBorders>
            <w:vAlign w:val="center"/>
          </w:tcPr>
          <w:p>
            <w:pPr>
              <w:autoSpaceDE w:val="0"/>
              <w:spacing w:line="240" w:lineRule="auto"/>
              <w:ind w:firstLine="0" w:firstLineChars="0"/>
              <w:jc w:val="center"/>
              <w:rPr>
                <w:rFonts w:cs="Times New Roman"/>
                <w:color w:val="auto"/>
                <w:sz w:val="21"/>
                <w:szCs w:val="21"/>
              </w:rPr>
            </w:pPr>
            <w:r>
              <w:rPr>
                <w:rFonts w:ascii="宋体" w:hAnsi="宋体" w:cs="Times New Roman"/>
                <w:color w:val="auto"/>
                <w:sz w:val="21"/>
                <w:szCs w:val="21"/>
              </w:rPr>
              <w:t>胶合有机废气、清抹有机废气、喷漆废气（喷漆房</w:t>
            </w:r>
            <w:r>
              <w:rPr>
                <w:rFonts w:cs="Times New Roman"/>
                <w:color w:val="auto"/>
                <w:sz w:val="21"/>
                <w:szCs w:val="21"/>
              </w:rPr>
              <w:t>2</w:t>
            </w:r>
            <w:r>
              <w:rPr>
                <w:rFonts w:ascii="宋体" w:hAnsi="宋体" w:cs="Times New Roman"/>
                <w:color w:val="auto"/>
                <w:sz w:val="21"/>
                <w:szCs w:val="21"/>
              </w:rPr>
              <w:t>）、烘干废气（烤漆炉</w:t>
            </w:r>
            <w:r>
              <w:rPr>
                <w:rFonts w:cs="Times New Roman"/>
                <w:color w:val="auto"/>
                <w:sz w:val="21"/>
                <w:szCs w:val="21"/>
              </w:rPr>
              <w:t>2</w:t>
            </w:r>
            <w:r>
              <w:rPr>
                <w:rFonts w:ascii="宋体" w:hAnsi="宋体" w:cs="Times New Roman"/>
                <w:color w:val="auto"/>
                <w:sz w:val="21"/>
                <w:szCs w:val="21"/>
              </w:rPr>
              <w:t>）、液化石油气燃烧废气（烤漆炉</w:t>
            </w:r>
            <w:r>
              <w:rPr>
                <w:rFonts w:cs="Times New Roman"/>
                <w:color w:val="auto"/>
                <w:sz w:val="21"/>
                <w:szCs w:val="21"/>
              </w:rPr>
              <w:t>2</w:t>
            </w:r>
            <w:r>
              <w:rPr>
                <w:rFonts w:ascii="宋体" w:hAnsi="宋体" w:cs="Times New Roman"/>
                <w:color w:val="auto"/>
                <w:sz w:val="21"/>
                <w:szCs w:val="21"/>
              </w:rPr>
              <w:t>）排放口（</w:t>
            </w:r>
            <w:r>
              <w:rPr>
                <w:rFonts w:cs="Times New Roman"/>
                <w:color w:val="auto"/>
                <w:sz w:val="21"/>
                <w:szCs w:val="21"/>
              </w:rPr>
              <w:t>DA002</w:t>
            </w:r>
            <w:r>
              <w:rPr>
                <w:rFonts w:ascii="宋体" w:hAnsi="宋体" w:cs="Times New Roman"/>
                <w:color w:val="auto"/>
                <w:sz w:val="21"/>
                <w:szCs w:val="21"/>
              </w:rPr>
              <w:t>）</w:t>
            </w:r>
          </w:p>
        </w:tc>
        <w:tc>
          <w:tcPr>
            <w:tcW w:w="1773" w:type="dxa"/>
            <w:gridSpan w:val="2"/>
            <w:tcBorders>
              <w:top w:val="single" w:color="auto" w:sz="4" w:space="0"/>
              <w:left w:val="nil"/>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15</w:t>
            </w:r>
          </w:p>
        </w:tc>
        <w:tc>
          <w:tcPr>
            <w:tcW w:w="1584" w:type="dxa"/>
            <w:gridSpan w:val="3"/>
            <w:tcBorders>
              <w:top w:val="single" w:color="auto" w:sz="4" w:space="0"/>
              <w:left w:val="nil"/>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0.503</w:t>
            </w:r>
          </w:p>
        </w:tc>
        <w:tc>
          <w:tcPr>
            <w:tcW w:w="1768" w:type="dxa"/>
            <w:gridSpan w:val="3"/>
            <w:tcBorders>
              <w:top w:val="single" w:color="auto" w:sz="4" w:space="0"/>
              <w:left w:val="nil"/>
              <w:bottom w:val="single" w:color="auto"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hint="eastAsia" w:ascii="宋体" w:hAnsi="宋体" w:cs="Times New Roman"/>
                <w:color w:val="auto"/>
                <w:sz w:val="21"/>
                <w:szCs w:val="21"/>
              </w:rPr>
              <w:t>水喷淋</w:t>
            </w:r>
            <w:r>
              <w:rPr>
                <w:rFonts w:hint="eastAsia" w:cs="Times New Roman"/>
                <w:color w:val="auto"/>
                <w:sz w:val="21"/>
                <w:szCs w:val="21"/>
              </w:rPr>
              <w:t>+</w:t>
            </w:r>
            <w:r>
              <w:rPr>
                <w:rFonts w:hint="eastAsia" w:ascii="宋体" w:hAnsi="宋体" w:cs="Times New Roman"/>
                <w:color w:val="auto"/>
                <w:sz w:val="21"/>
                <w:szCs w:val="21"/>
              </w:rPr>
              <w:t>活性炭吸附</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85" w:hRule="atLeast"/>
          <w:jc w:val="center"/>
        </w:trPr>
        <w:tc>
          <w:tcPr>
            <w:tcW w:w="8522" w:type="dxa"/>
            <w:gridSpan w:val="11"/>
            <w:tcBorders>
              <w:top w:val="single" w:color="auto" w:sz="4" w:space="0"/>
              <w:left w:val="single" w:color="000000" w:sz="4" w:space="0"/>
              <w:bottom w:val="single" w:color="auto" w:sz="4" w:space="0"/>
              <w:right w:val="single" w:color="auto" w:sz="4" w:space="0"/>
            </w:tcBorders>
            <w:vAlign w:val="center"/>
          </w:tcPr>
          <w:p>
            <w:pPr>
              <w:adjustRightInd w:val="0"/>
              <w:spacing w:line="240" w:lineRule="auto"/>
              <w:ind w:firstLine="0" w:firstLineChars="0"/>
              <w:jc w:val="center"/>
              <w:rPr>
                <w:rFonts w:cs="Times New Roman"/>
                <w:b/>
                <w:bCs/>
                <w:color w:val="auto"/>
                <w:sz w:val="21"/>
                <w:szCs w:val="21"/>
              </w:rPr>
            </w:pPr>
            <w:r>
              <w:rPr>
                <w:rFonts w:ascii="宋体" w:hAnsi="宋体" w:cs="Times New Roman"/>
                <w:b/>
                <w:bCs/>
                <w:color w:val="auto"/>
                <w:sz w:val="21"/>
                <w:szCs w:val="21"/>
              </w:rPr>
              <w:t>项目检测结果</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7" w:hRule="atLeast"/>
          <w:jc w:val="center"/>
        </w:trPr>
        <w:tc>
          <w:tcPr>
            <w:tcW w:w="1243" w:type="dxa"/>
            <w:vMerge w:val="restart"/>
            <w:tcBorders>
              <w:top w:val="nil"/>
              <w:left w:val="single" w:color="000000" w:sz="4" w:space="0"/>
              <w:bottom w:val="single" w:color="000000" w:sz="4" w:space="0"/>
              <w:right w:val="single" w:color="auto" w:sz="4" w:space="0"/>
            </w:tcBorders>
            <w:vAlign w:val="center"/>
          </w:tcPr>
          <w:p>
            <w:pPr>
              <w:autoSpaceDE w:val="0"/>
              <w:spacing w:line="240" w:lineRule="auto"/>
              <w:ind w:firstLine="0" w:firstLineChars="0"/>
              <w:jc w:val="center"/>
              <w:rPr>
                <w:rFonts w:cs="Times New Roman"/>
                <w:b/>
                <w:bCs/>
                <w:color w:val="auto"/>
                <w:sz w:val="21"/>
                <w:szCs w:val="21"/>
              </w:rPr>
            </w:pPr>
            <w:r>
              <w:rPr>
                <w:rFonts w:ascii="宋体" w:hAnsi="宋体" w:cs="Times New Roman"/>
                <w:b/>
                <w:bCs/>
                <w:color w:val="auto"/>
                <w:sz w:val="21"/>
                <w:szCs w:val="21"/>
              </w:rPr>
              <w:t>检测时间</w:t>
            </w:r>
          </w:p>
        </w:tc>
        <w:tc>
          <w:tcPr>
            <w:tcW w:w="1385" w:type="dxa"/>
            <w:vMerge w:val="restart"/>
            <w:tcBorders>
              <w:top w:val="single" w:color="auto" w:sz="4" w:space="0"/>
              <w:left w:val="nil"/>
              <w:bottom w:val="single" w:color="000000" w:sz="4" w:space="0"/>
              <w:right w:val="single" w:color="auto" w:sz="4" w:space="0"/>
            </w:tcBorders>
            <w:vAlign w:val="center"/>
          </w:tcPr>
          <w:p>
            <w:pPr>
              <w:spacing w:line="240" w:lineRule="auto"/>
              <w:ind w:firstLine="0" w:firstLineChars="0"/>
              <w:jc w:val="center"/>
              <w:rPr>
                <w:rFonts w:cs="Times New Roman"/>
                <w:b/>
                <w:bCs/>
                <w:color w:val="auto"/>
                <w:sz w:val="21"/>
                <w:szCs w:val="21"/>
              </w:rPr>
            </w:pPr>
            <w:r>
              <w:rPr>
                <w:rFonts w:ascii="宋体" w:hAnsi="宋体" w:cs="Times New Roman"/>
                <w:b/>
                <w:bCs/>
                <w:color w:val="auto"/>
                <w:sz w:val="21"/>
                <w:szCs w:val="21"/>
              </w:rPr>
              <w:t>检测点位</w:t>
            </w:r>
          </w:p>
        </w:tc>
        <w:tc>
          <w:tcPr>
            <w:tcW w:w="2612" w:type="dxa"/>
            <w:gridSpan w:val="4"/>
            <w:vMerge w:val="restart"/>
            <w:tcBorders>
              <w:top w:val="single" w:color="auto" w:sz="4" w:space="0"/>
              <w:left w:val="nil"/>
              <w:bottom w:val="single" w:color="000000" w:sz="4" w:space="0"/>
              <w:right w:val="single" w:color="auto" w:sz="4" w:space="0"/>
            </w:tcBorders>
            <w:vAlign w:val="center"/>
          </w:tcPr>
          <w:p>
            <w:pPr>
              <w:spacing w:line="240" w:lineRule="auto"/>
              <w:ind w:firstLine="0" w:firstLineChars="0"/>
              <w:jc w:val="center"/>
              <w:rPr>
                <w:rFonts w:cs="Times New Roman"/>
                <w:b/>
                <w:bCs/>
                <w:color w:val="auto"/>
                <w:sz w:val="21"/>
                <w:szCs w:val="21"/>
              </w:rPr>
            </w:pPr>
            <w:r>
              <w:rPr>
                <w:rFonts w:ascii="宋体" w:hAnsi="宋体" w:cs="Times New Roman"/>
                <w:b/>
                <w:bCs/>
                <w:color w:val="auto"/>
                <w:sz w:val="21"/>
                <w:szCs w:val="21"/>
              </w:rPr>
              <w:t>检测项目</w:t>
            </w:r>
          </w:p>
        </w:tc>
        <w:tc>
          <w:tcPr>
            <w:tcW w:w="2600" w:type="dxa"/>
            <w:gridSpan w:val="4"/>
            <w:tcBorders>
              <w:top w:val="single" w:color="auto" w:sz="4" w:space="0"/>
              <w:left w:val="nil"/>
              <w:bottom w:val="single" w:color="000000" w:sz="4" w:space="0"/>
              <w:right w:val="single" w:color="auto" w:sz="4" w:space="0"/>
            </w:tcBorders>
            <w:vAlign w:val="center"/>
          </w:tcPr>
          <w:p>
            <w:pPr>
              <w:autoSpaceDE w:val="0"/>
              <w:spacing w:line="240" w:lineRule="auto"/>
              <w:ind w:firstLine="0" w:firstLineChars="0"/>
              <w:jc w:val="center"/>
              <w:rPr>
                <w:rFonts w:cs="Times New Roman"/>
                <w:b/>
                <w:color w:val="auto"/>
                <w:sz w:val="21"/>
                <w:szCs w:val="21"/>
              </w:rPr>
            </w:pPr>
            <w:r>
              <w:rPr>
                <w:rFonts w:ascii="宋体" w:hAnsi="宋体" w:cs="Times New Roman"/>
                <w:b/>
                <w:color w:val="auto"/>
                <w:sz w:val="21"/>
                <w:szCs w:val="21"/>
              </w:rPr>
              <w:t>检测结果</w:t>
            </w:r>
          </w:p>
        </w:tc>
        <w:tc>
          <w:tcPr>
            <w:tcW w:w="682" w:type="dxa"/>
            <w:vMerge w:val="restart"/>
            <w:tcBorders>
              <w:top w:val="single" w:color="auto" w:sz="4" w:space="0"/>
              <w:left w:val="nil"/>
              <w:bottom w:val="single" w:color="000000" w:sz="4" w:space="0"/>
              <w:right w:val="single" w:color="auto" w:sz="4" w:space="0"/>
            </w:tcBorders>
            <w:vAlign w:val="center"/>
          </w:tcPr>
          <w:p>
            <w:pPr>
              <w:spacing w:line="240" w:lineRule="auto"/>
              <w:ind w:firstLine="0" w:firstLineChars="0"/>
              <w:jc w:val="center"/>
              <w:rPr>
                <w:rFonts w:cs="Times New Roman"/>
                <w:b/>
                <w:bCs/>
                <w:color w:val="auto"/>
                <w:sz w:val="21"/>
                <w:szCs w:val="21"/>
              </w:rPr>
            </w:pPr>
            <w:r>
              <w:rPr>
                <w:rFonts w:ascii="宋体" w:hAnsi="宋体" w:cs="Times New Roman"/>
                <w:b/>
                <w:bCs/>
                <w:color w:val="auto"/>
                <w:sz w:val="21"/>
                <w:szCs w:val="21"/>
              </w:rPr>
              <w:t>浓度</w:t>
            </w:r>
          </w:p>
          <w:p>
            <w:pPr>
              <w:spacing w:line="240" w:lineRule="auto"/>
              <w:ind w:firstLine="0" w:firstLineChars="0"/>
              <w:jc w:val="center"/>
              <w:rPr>
                <w:rFonts w:cs="Times New Roman"/>
                <w:b/>
                <w:bCs/>
                <w:color w:val="auto"/>
                <w:sz w:val="21"/>
                <w:szCs w:val="21"/>
              </w:rPr>
            </w:pPr>
            <w:r>
              <w:rPr>
                <w:rFonts w:ascii="宋体" w:hAnsi="宋体" w:cs="Times New Roman"/>
                <w:b/>
                <w:bCs/>
                <w:color w:val="auto"/>
                <w:sz w:val="21"/>
                <w:szCs w:val="21"/>
              </w:rPr>
              <w:t>限值</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7" w:hRule="atLeast"/>
          <w:jc w:val="center"/>
        </w:trPr>
        <w:tc>
          <w:tcPr>
            <w:tcW w:w="1243"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b/>
                <w:bCs/>
                <w:color w:val="auto"/>
                <w:sz w:val="21"/>
                <w:szCs w:val="21"/>
              </w:rPr>
            </w:pPr>
          </w:p>
        </w:tc>
        <w:tc>
          <w:tcPr>
            <w:tcW w:w="1385" w:type="dxa"/>
            <w:vMerge w:val="continue"/>
            <w:tcBorders>
              <w:top w:val="single" w:color="auto" w:sz="4" w:space="0"/>
              <w:left w:val="nil"/>
              <w:bottom w:val="single" w:color="000000" w:sz="4" w:space="0"/>
              <w:right w:val="single" w:color="auto" w:sz="4" w:space="0"/>
            </w:tcBorders>
            <w:vAlign w:val="center"/>
          </w:tcPr>
          <w:p>
            <w:pPr>
              <w:widowControl/>
              <w:spacing w:line="240" w:lineRule="auto"/>
              <w:ind w:firstLine="0" w:firstLineChars="0"/>
              <w:jc w:val="left"/>
              <w:rPr>
                <w:rFonts w:cs="Times New Roman"/>
                <w:b/>
                <w:bCs/>
                <w:color w:val="auto"/>
                <w:sz w:val="21"/>
                <w:szCs w:val="21"/>
              </w:rPr>
            </w:pPr>
          </w:p>
        </w:tc>
        <w:tc>
          <w:tcPr>
            <w:tcW w:w="2612" w:type="dxa"/>
            <w:gridSpan w:val="4"/>
            <w:vMerge w:val="continue"/>
            <w:tcBorders>
              <w:top w:val="single" w:color="auto" w:sz="4" w:space="0"/>
              <w:left w:val="nil"/>
              <w:bottom w:val="single" w:color="000000" w:sz="4" w:space="0"/>
              <w:right w:val="single" w:color="auto" w:sz="4" w:space="0"/>
            </w:tcBorders>
            <w:vAlign w:val="center"/>
          </w:tcPr>
          <w:p>
            <w:pPr>
              <w:widowControl/>
              <w:spacing w:line="240" w:lineRule="auto"/>
              <w:ind w:firstLine="0" w:firstLineChars="0"/>
              <w:jc w:val="left"/>
              <w:rPr>
                <w:rFonts w:cs="Times New Roman"/>
                <w:b/>
                <w:bCs/>
                <w:color w:val="auto"/>
                <w:sz w:val="21"/>
                <w:szCs w:val="21"/>
              </w:rPr>
            </w:pPr>
          </w:p>
        </w:tc>
        <w:tc>
          <w:tcPr>
            <w:tcW w:w="866" w:type="dxa"/>
            <w:tcBorders>
              <w:top w:val="single" w:color="auto" w:sz="4" w:space="0"/>
              <w:left w:val="nil"/>
              <w:bottom w:val="single" w:color="000000" w:sz="4" w:space="0"/>
              <w:right w:val="single" w:color="auto" w:sz="4" w:space="0"/>
            </w:tcBorders>
            <w:vAlign w:val="center"/>
          </w:tcPr>
          <w:p>
            <w:pPr>
              <w:autoSpaceDE w:val="0"/>
              <w:spacing w:line="240" w:lineRule="auto"/>
              <w:ind w:firstLine="0" w:firstLineChars="0"/>
              <w:jc w:val="center"/>
              <w:rPr>
                <w:rFonts w:cs="Times New Roman"/>
                <w:b/>
                <w:color w:val="auto"/>
                <w:sz w:val="21"/>
                <w:szCs w:val="21"/>
              </w:rPr>
            </w:pPr>
            <w:r>
              <w:rPr>
                <w:rFonts w:ascii="宋体" w:hAnsi="宋体" w:cs="Times New Roman"/>
                <w:b/>
                <w:color w:val="auto"/>
                <w:sz w:val="21"/>
                <w:szCs w:val="21"/>
              </w:rPr>
              <w:t>第</w:t>
            </w:r>
            <w:r>
              <w:rPr>
                <w:rFonts w:cs="Times New Roman"/>
                <w:b/>
                <w:color w:val="auto"/>
                <w:sz w:val="21"/>
                <w:szCs w:val="21"/>
              </w:rPr>
              <w:t>1</w:t>
            </w:r>
            <w:r>
              <w:rPr>
                <w:rFonts w:ascii="宋体" w:hAnsi="宋体" w:cs="Times New Roman"/>
                <w:b/>
                <w:color w:val="auto"/>
                <w:sz w:val="21"/>
                <w:szCs w:val="21"/>
              </w:rPr>
              <w:t>次</w:t>
            </w:r>
          </w:p>
        </w:tc>
        <w:tc>
          <w:tcPr>
            <w:tcW w:w="866" w:type="dxa"/>
            <w:gridSpan w:val="2"/>
            <w:tcBorders>
              <w:top w:val="single" w:color="auto" w:sz="4" w:space="0"/>
              <w:left w:val="nil"/>
              <w:bottom w:val="single" w:color="000000" w:sz="4" w:space="0"/>
              <w:right w:val="single" w:color="auto" w:sz="4" w:space="0"/>
            </w:tcBorders>
            <w:vAlign w:val="center"/>
          </w:tcPr>
          <w:p>
            <w:pPr>
              <w:autoSpaceDE w:val="0"/>
              <w:spacing w:line="240" w:lineRule="auto"/>
              <w:ind w:firstLine="0" w:firstLineChars="0"/>
              <w:jc w:val="center"/>
              <w:rPr>
                <w:rFonts w:cs="Times New Roman"/>
                <w:b/>
                <w:color w:val="auto"/>
                <w:sz w:val="21"/>
                <w:szCs w:val="21"/>
              </w:rPr>
            </w:pPr>
            <w:r>
              <w:rPr>
                <w:rFonts w:ascii="宋体" w:hAnsi="宋体" w:cs="Times New Roman"/>
                <w:b/>
                <w:color w:val="auto"/>
                <w:sz w:val="21"/>
                <w:szCs w:val="21"/>
              </w:rPr>
              <w:t>第</w:t>
            </w:r>
            <w:r>
              <w:rPr>
                <w:rFonts w:cs="Times New Roman"/>
                <w:b/>
                <w:color w:val="auto"/>
                <w:sz w:val="21"/>
                <w:szCs w:val="21"/>
              </w:rPr>
              <w:t>2</w:t>
            </w:r>
            <w:r>
              <w:rPr>
                <w:rFonts w:ascii="宋体" w:hAnsi="宋体" w:cs="Times New Roman"/>
                <w:b/>
                <w:color w:val="auto"/>
                <w:sz w:val="21"/>
                <w:szCs w:val="21"/>
              </w:rPr>
              <w:t>次</w:t>
            </w:r>
          </w:p>
        </w:tc>
        <w:tc>
          <w:tcPr>
            <w:tcW w:w="868" w:type="dxa"/>
            <w:tcBorders>
              <w:top w:val="single" w:color="auto" w:sz="4" w:space="0"/>
              <w:left w:val="nil"/>
              <w:bottom w:val="single" w:color="000000" w:sz="4" w:space="0"/>
              <w:right w:val="single" w:color="auto" w:sz="4" w:space="0"/>
            </w:tcBorders>
            <w:vAlign w:val="center"/>
          </w:tcPr>
          <w:p>
            <w:pPr>
              <w:autoSpaceDE w:val="0"/>
              <w:spacing w:line="240" w:lineRule="auto"/>
              <w:ind w:firstLine="0" w:firstLineChars="0"/>
              <w:jc w:val="center"/>
              <w:rPr>
                <w:rFonts w:cs="Times New Roman"/>
                <w:b/>
                <w:color w:val="auto"/>
                <w:sz w:val="21"/>
                <w:szCs w:val="21"/>
              </w:rPr>
            </w:pPr>
            <w:r>
              <w:rPr>
                <w:rFonts w:ascii="宋体" w:hAnsi="宋体" w:cs="Times New Roman"/>
                <w:b/>
                <w:color w:val="auto"/>
                <w:sz w:val="21"/>
                <w:szCs w:val="21"/>
              </w:rPr>
              <w:t>第</w:t>
            </w:r>
            <w:r>
              <w:rPr>
                <w:rFonts w:cs="Times New Roman"/>
                <w:b/>
                <w:color w:val="auto"/>
                <w:sz w:val="21"/>
                <w:szCs w:val="21"/>
              </w:rPr>
              <w:t>3</w:t>
            </w:r>
            <w:r>
              <w:rPr>
                <w:rFonts w:ascii="宋体" w:hAnsi="宋体" w:cs="Times New Roman"/>
                <w:b/>
                <w:color w:val="auto"/>
                <w:sz w:val="21"/>
                <w:szCs w:val="21"/>
              </w:rPr>
              <w:t>次</w:t>
            </w:r>
          </w:p>
        </w:tc>
        <w:tc>
          <w:tcPr>
            <w:tcW w:w="682" w:type="dxa"/>
            <w:vMerge w:val="continue"/>
            <w:tcBorders>
              <w:top w:val="single" w:color="auto" w:sz="4" w:space="0"/>
              <w:left w:val="nil"/>
              <w:bottom w:val="single" w:color="000000" w:sz="4" w:space="0"/>
              <w:right w:val="single" w:color="auto" w:sz="4" w:space="0"/>
            </w:tcBorders>
            <w:vAlign w:val="center"/>
          </w:tcPr>
          <w:p>
            <w:pPr>
              <w:widowControl/>
              <w:spacing w:line="240" w:lineRule="auto"/>
              <w:ind w:firstLine="0" w:firstLineChars="0"/>
              <w:jc w:val="left"/>
              <w:rPr>
                <w:rFonts w:cs="Times New Roman"/>
                <w:b/>
                <w:bCs/>
                <w:color w:val="auto"/>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243" w:type="dxa"/>
            <w:vMerge w:val="restart"/>
            <w:tcBorders>
              <w:top w:val="nil"/>
              <w:left w:val="single" w:color="000000" w:sz="4" w:space="0"/>
              <w:bottom w:val="single" w:color="000000"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cs="Times New Roman"/>
                <w:color w:val="auto"/>
                <w:sz w:val="21"/>
                <w:szCs w:val="21"/>
              </w:rPr>
              <w:t>2025.12.10</w:t>
            </w:r>
          </w:p>
        </w:tc>
        <w:tc>
          <w:tcPr>
            <w:tcW w:w="1385" w:type="dxa"/>
            <w:vMerge w:val="restart"/>
            <w:tcBorders>
              <w:top w:val="nil"/>
              <w:left w:val="nil"/>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ascii="宋体" w:hAnsi="宋体" w:cs="Times New Roman"/>
                <w:color w:val="auto"/>
                <w:sz w:val="21"/>
                <w:szCs w:val="21"/>
              </w:rPr>
              <w:t>胶合有机废气、清抹有机废气、喷漆废气（喷漆房</w:t>
            </w:r>
            <w:r>
              <w:rPr>
                <w:rFonts w:cs="Times New Roman"/>
                <w:color w:val="auto"/>
                <w:sz w:val="21"/>
                <w:szCs w:val="21"/>
              </w:rPr>
              <w:t>2</w:t>
            </w:r>
            <w:r>
              <w:rPr>
                <w:rFonts w:ascii="宋体" w:hAnsi="宋体" w:cs="Times New Roman"/>
                <w:color w:val="auto"/>
                <w:sz w:val="21"/>
                <w:szCs w:val="21"/>
              </w:rPr>
              <w:t>）、烘干废气（烤漆炉</w:t>
            </w:r>
            <w:r>
              <w:rPr>
                <w:rFonts w:cs="Times New Roman"/>
                <w:color w:val="auto"/>
                <w:sz w:val="21"/>
                <w:szCs w:val="21"/>
              </w:rPr>
              <w:t>2</w:t>
            </w:r>
            <w:r>
              <w:rPr>
                <w:rFonts w:ascii="宋体" w:hAnsi="宋体" w:cs="Times New Roman"/>
                <w:color w:val="auto"/>
                <w:sz w:val="21"/>
                <w:szCs w:val="21"/>
              </w:rPr>
              <w:t>）、液化石油气燃烧废气（烤漆炉</w:t>
            </w:r>
            <w:r>
              <w:rPr>
                <w:rFonts w:cs="Times New Roman"/>
                <w:color w:val="auto"/>
                <w:sz w:val="21"/>
                <w:szCs w:val="21"/>
              </w:rPr>
              <w:t>2</w:t>
            </w:r>
            <w:r>
              <w:rPr>
                <w:rFonts w:ascii="宋体" w:hAnsi="宋体" w:cs="Times New Roman"/>
                <w:color w:val="auto"/>
                <w:sz w:val="21"/>
                <w:szCs w:val="21"/>
              </w:rPr>
              <w:t>）排放口（</w:t>
            </w:r>
            <w:r>
              <w:rPr>
                <w:rFonts w:cs="Times New Roman"/>
                <w:color w:val="auto"/>
                <w:sz w:val="21"/>
                <w:szCs w:val="21"/>
              </w:rPr>
              <w:t>DA002</w:t>
            </w:r>
            <w:r>
              <w:rPr>
                <w:rFonts w:ascii="宋体" w:hAnsi="宋体" w:cs="Times New Roman"/>
                <w:color w:val="auto"/>
                <w:sz w:val="21"/>
                <w:szCs w:val="21"/>
              </w:rPr>
              <w:t>）</w:t>
            </w:r>
          </w:p>
        </w:tc>
        <w:tc>
          <w:tcPr>
            <w:tcW w:w="829" w:type="dxa"/>
            <w:gridSpan w:val="2"/>
            <w:vMerge w:val="restart"/>
            <w:tcBorders>
              <w:top w:val="nil"/>
              <w:left w:val="nil"/>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ascii="宋体" w:hAnsi="宋体" w:cs="Times New Roman"/>
                <w:color w:val="auto"/>
                <w:kern w:val="0"/>
                <w:sz w:val="21"/>
                <w:szCs w:val="21"/>
              </w:rPr>
              <w:t>总</w:t>
            </w:r>
            <w:r>
              <w:rPr>
                <w:rFonts w:cs="Times New Roman"/>
                <w:color w:val="auto"/>
                <w:kern w:val="0"/>
                <w:sz w:val="21"/>
                <w:szCs w:val="21"/>
              </w:rPr>
              <w:t>VOCs</w:t>
            </w:r>
          </w:p>
        </w:tc>
        <w:tc>
          <w:tcPr>
            <w:tcW w:w="1783" w:type="dxa"/>
            <w:gridSpan w:val="2"/>
            <w:tcBorders>
              <w:top w:val="single" w:color="000000" w:sz="4" w:space="0"/>
              <w:left w:val="nil"/>
              <w:bottom w:val="single" w:color="000000"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ascii="宋体" w:hAnsi="宋体" w:cs="Times New Roman"/>
                <w:color w:val="auto"/>
                <w:sz w:val="21"/>
                <w:szCs w:val="21"/>
              </w:rPr>
              <w:t>实测浓度（</w:t>
            </w:r>
            <w:r>
              <w:rPr>
                <w:rFonts w:cs="Times New Roman"/>
                <w:color w:val="auto"/>
                <w:sz w:val="21"/>
                <w:szCs w:val="21"/>
              </w:rPr>
              <w:t>mg/m</w:t>
            </w:r>
            <w:r>
              <w:rPr>
                <w:rFonts w:cs="Times New Roman"/>
                <w:color w:val="auto"/>
                <w:sz w:val="21"/>
                <w:szCs w:val="21"/>
                <w:vertAlign w:val="superscript"/>
              </w:rPr>
              <w:t>3</w:t>
            </w:r>
            <w:r>
              <w:rPr>
                <w:rFonts w:ascii="宋体" w:hAnsi="宋体" w:cs="Times New Roman"/>
                <w:color w:val="auto"/>
                <w:sz w:val="21"/>
                <w:szCs w:val="21"/>
              </w:rPr>
              <w:t>）</w:t>
            </w:r>
          </w:p>
        </w:tc>
        <w:tc>
          <w:tcPr>
            <w:tcW w:w="866" w:type="dxa"/>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cs="Times New Roman"/>
                <w:color w:val="auto"/>
                <w:sz w:val="21"/>
                <w:szCs w:val="21"/>
              </w:rPr>
              <w:t>1.11</w:t>
            </w:r>
          </w:p>
        </w:tc>
        <w:tc>
          <w:tcPr>
            <w:tcW w:w="866" w:type="dxa"/>
            <w:gridSpan w:val="2"/>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1.26 </w:t>
            </w:r>
          </w:p>
        </w:tc>
        <w:tc>
          <w:tcPr>
            <w:tcW w:w="868" w:type="dxa"/>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1.18 </w:t>
            </w:r>
          </w:p>
        </w:tc>
        <w:tc>
          <w:tcPr>
            <w:tcW w:w="682" w:type="dxa"/>
            <w:tcBorders>
              <w:top w:val="single" w:color="000000" w:sz="4" w:space="0"/>
              <w:left w:val="nil"/>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100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243"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85" w:type="dxa"/>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829" w:type="dxa"/>
            <w:gridSpan w:val="2"/>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783" w:type="dxa"/>
            <w:gridSpan w:val="2"/>
            <w:tcBorders>
              <w:top w:val="single" w:color="000000" w:sz="4" w:space="0"/>
              <w:left w:val="nil"/>
              <w:bottom w:val="single" w:color="000000" w:sz="4" w:space="0"/>
              <w:right w:val="single" w:color="auto" w:sz="4" w:space="0"/>
            </w:tcBorders>
            <w:vAlign w:val="center"/>
          </w:tcPr>
          <w:p>
            <w:pPr>
              <w:autoSpaceDE w:val="0"/>
              <w:adjustRightInd w:val="0"/>
              <w:spacing w:line="240" w:lineRule="auto"/>
              <w:ind w:firstLine="0" w:firstLineChars="0"/>
              <w:jc w:val="left"/>
              <w:rPr>
                <w:rFonts w:cs="Times New Roman"/>
                <w:iCs/>
                <w:color w:val="auto"/>
                <w:kern w:val="0"/>
                <w:sz w:val="21"/>
                <w:szCs w:val="21"/>
              </w:rPr>
            </w:pPr>
            <w:r>
              <w:rPr>
                <w:rFonts w:ascii="宋体" w:hAnsi="宋体" w:cs="Times New Roman"/>
                <w:iCs/>
                <w:color w:val="auto"/>
                <w:kern w:val="0"/>
                <w:sz w:val="21"/>
                <w:szCs w:val="21"/>
              </w:rPr>
              <w:t>排放速率（</w:t>
            </w:r>
            <w:r>
              <w:rPr>
                <w:rFonts w:cs="Times New Roman"/>
                <w:iCs/>
                <w:color w:val="auto"/>
                <w:kern w:val="0"/>
                <w:sz w:val="21"/>
                <w:szCs w:val="21"/>
              </w:rPr>
              <w:t>kg/h</w:t>
            </w:r>
            <w:r>
              <w:rPr>
                <w:rFonts w:ascii="宋体" w:hAnsi="宋体" w:cs="Times New Roman"/>
                <w:iCs/>
                <w:color w:val="auto"/>
                <w:kern w:val="0"/>
                <w:sz w:val="21"/>
                <w:szCs w:val="21"/>
              </w:rPr>
              <w:t>）</w:t>
            </w:r>
          </w:p>
        </w:tc>
        <w:tc>
          <w:tcPr>
            <w:tcW w:w="866" w:type="dxa"/>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0.030 </w:t>
            </w:r>
          </w:p>
        </w:tc>
        <w:tc>
          <w:tcPr>
            <w:tcW w:w="866" w:type="dxa"/>
            <w:gridSpan w:val="2"/>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0.033 </w:t>
            </w:r>
          </w:p>
        </w:tc>
        <w:tc>
          <w:tcPr>
            <w:tcW w:w="868" w:type="dxa"/>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0.031 </w:t>
            </w:r>
          </w:p>
        </w:tc>
        <w:tc>
          <w:tcPr>
            <w:tcW w:w="682" w:type="dxa"/>
            <w:tcBorders>
              <w:top w:val="single" w:color="000000" w:sz="4" w:space="0"/>
              <w:left w:val="nil"/>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243"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85" w:type="dxa"/>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829" w:type="dxa"/>
            <w:gridSpan w:val="2"/>
            <w:vMerge w:val="restart"/>
            <w:tcBorders>
              <w:top w:val="nil"/>
              <w:left w:val="nil"/>
              <w:bottom w:val="single" w:color="000000" w:sz="4" w:space="0"/>
              <w:right w:val="single" w:color="auto" w:sz="4" w:space="0"/>
            </w:tcBorders>
            <w:vAlign w:val="center"/>
          </w:tcPr>
          <w:p>
            <w:pPr>
              <w:autoSpaceDE w:val="0"/>
              <w:spacing w:line="240" w:lineRule="auto"/>
              <w:ind w:firstLine="0" w:firstLineChars="0"/>
              <w:jc w:val="center"/>
              <w:rPr>
                <w:rFonts w:cs="Times New Roman"/>
                <w:iCs/>
                <w:color w:val="auto"/>
                <w:kern w:val="0"/>
                <w:sz w:val="21"/>
                <w:szCs w:val="21"/>
              </w:rPr>
            </w:pPr>
            <w:r>
              <w:rPr>
                <w:rFonts w:ascii="宋体" w:hAnsi="宋体" w:cs="Times New Roman"/>
                <w:color w:val="auto"/>
                <w:kern w:val="0"/>
                <w:sz w:val="21"/>
                <w:szCs w:val="21"/>
              </w:rPr>
              <w:t>二甲苯</w:t>
            </w:r>
          </w:p>
        </w:tc>
        <w:tc>
          <w:tcPr>
            <w:tcW w:w="1783" w:type="dxa"/>
            <w:gridSpan w:val="2"/>
            <w:tcBorders>
              <w:top w:val="single" w:color="000000" w:sz="4" w:space="0"/>
              <w:left w:val="nil"/>
              <w:bottom w:val="single" w:color="000000"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ascii="宋体" w:hAnsi="宋体" w:cs="Times New Roman"/>
                <w:color w:val="auto"/>
                <w:sz w:val="21"/>
                <w:szCs w:val="21"/>
              </w:rPr>
              <w:t>实测浓度（</w:t>
            </w:r>
            <w:r>
              <w:rPr>
                <w:rFonts w:cs="Times New Roman"/>
                <w:color w:val="auto"/>
                <w:sz w:val="21"/>
                <w:szCs w:val="21"/>
              </w:rPr>
              <w:t>mg/m</w:t>
            </w:r>
            <w:r>
              <w:rPr>
                <w:rFonts w:cs="Times New Roman"/>
                <w:color w:val="auto"/>
                <w:sz w:val="21"/>
                <w:szCs w:val="21"/>
                <w:vertAlign w:val="superscript"/>
              </w:rPr>
              <w:t>3</w:t>
            </w:r>
            <w:r>
              <w:rPr>
                <w:rFonts w:ascii="宋体" w:hAnsi="宋体" w:cs="Times New Roman"/>
                <w:color w:val="auto"/>
                <w:sz w:val="21"/>
                <w:szCs w:val="21"/>
              </w:rPr>
              <w:t>）</w:t>
            </w:r>
          </w:p>
        </w:tc>
        <w:tc>
          <w:tcPr>
            <w:tcW w:w="866" w:type="dxa"/>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cs="Times New Roman"/>
                <w:color w:val="auto"/>
                <w:sz w:val="21"/>
                <w:szCs w:val="21"/>
              </w:rPr>
              <w:t>ND</w:t>
            </w:r>
          </w:p>
        </w:tc>
        <w:tc>
          <w:tcPr>
            <w:tcW w:w="866" w:type="dxa"/>
            <w:gridSpan w:val="2"/>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cs="Times New Roman"/>
                <w:color w:val="auto"/>
                <w:sz w:val="21"/>
                <w:szCs w:val="21"/>
              </w:rPr>
              <w:t>ND</w:t>
            </w:r>
          </w:p>
        </w:tc>
        <w:tc>
          <w:tcPr>
            <w:tcW w:w="868" w:type="dxa"/>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cs="Times New Roman"/>
                <w:color w:val="auto"/>
                <w:sz w:val="21"/>
                <w:szCs w:val="21"/>
              </w:rPr>
              <w:t>ND</w:t>
            </w:r>
          </w:p>
        </w:tc>
        <w:tc>
          <w:tcPr>
            <w:tcW w:w="682" w:type="dxa"/>
            <w:tcBorders>
              <w:top w:val="single" w:color="000000" w:sz="4" w:space="0"/>
              <w:left w:val="nil"/>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40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243"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85" w:type="dxa"/>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829" w:type="dxa"/>
            <w:gridSpan w:val="2"/>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iCs/>
                <w:color w:val="auto"/>
                <w:kern w:val="0"/>
                <w:sz w:val="21"/>
                <w:szCs w:val="21"/>
              </w:rPr>
            </w:pPr>
          </w:p>
        </w:tc>
        <w:tc>
          <w:tcPr>
            <w:tcW w:w="1783" w:type="dxa"/>
            <w:gridSpan w:val="2"/>
            <w:tcBorders>
              <w:top w:val="single" w:color="000000" w:sz="4" w:space="0"/>
              <w:left w:val="nil"/>
              <w:bottom w:val="single" w:color="000000" w:sz="4" w:space="0"/>
              <w:right w:val="single" w:color="auto" w:sz="4" w:space="0"/>
            </w:tcBorders>
            <w:vAlign w:val="center"/>
          </w:tcPr>
          <w:p>
            <w:pPr>
              <w:autoSpaceDE w:val="0"/>
              <w:adjustRightInd w:val="0"/>
              <w:spacing w:line="240" w:lineRule="auto"/>
              <w:ind w:firstLine="0" w:firstLineChars="0"/>
              <w:jc w:val="center"/>
              <w:rPr>
                <w:rFonts w:cs="Times New Roman"/>
                <w:iCs/>
                <w:color w:val="auto"/>
                <w:kern w:val="0"/>
                <w:sz w:val="21"/>
                <w:szCs w:val="21"/>
              </w:rPr>
            </w:pPr>
            <w:r>
              <w:rPr>
                <w:rFonts w:ascii="宋体" w:hAnsi="宋体" w:cs="Times New Roman"/>
                <w:iCs/>
                <w:color w:val="auto"/>
                <w:kern w:val="0"/>
                <w:sz w:val="21"/>
                <w:szCs w:val="21"/>
              </w:rPr>
              <w:t>排放速率（</w:t>
            </w:r>
            <w:r>
              <w:rPr>
                <w:rFonts w:cs="Times New Roman"/>
                <w:iCs/>
                <w:color w:val="auto"/>
                <w:kern w:val="0"/>
                <w:sz w:val="21"/>
                <w:szCs w:val="21"/>
              </w:rPr>
              <w:t>kg/h</w:t>
            </w:r>
            <w:r>
              <w:rPr>
                <w:rFonts w:ascii="宋体" w:hAnsi="宋体" w:cs="Times New Roman"/>
                <w:iCs/>
                <w:color w:val="auto"/>
                <w:kern w:val="0"/>
                <w:sz w:val="21"/>
                <w:szCs w:val="21"/>
              </w:rPr>
              <w:t>）</w:t>
            </w:r>
          </w:p>
        </w:tc>
        <w:tc>
          <w:tcPr>
            <w:tcW w:w="866" w:type="dxa"/>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cs="Times New Roman"/>
                <w:color w:val="auto"/>
                <w:sz w:val="21"/>
                <w:szCs w:val="21"/>
              </w:rPr>
              <w:t>--</w:t>
            </w:r>
          </w:p>
        </w:tc>
        <w:tc>
          <w:tcPr>
            <w:tcW w:w="866" w:type="dxa"/>
            <w:gridSpan w:val="2"/>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cs="Times New Roman"/>
                <w:color w:val="auto"/>
                <w:sz w:val="21"/>
                <w:szCs w:val="21"/>
              </w:rPr>
              <w:t>--</w:t>
            </w:r>
          </w:p>
        </w:tc>
        <w:tc>
          <w:tcPr>
            <w:tcW w:w="868" w:type="dxa"/>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cs="Times New Roman"/>
                <w:color w:val="auto"/>
                <w:sz w:val="21"/>
                <w:szCs w:val="21"/>
              </w:rPr>
              <w:t>--</w:t>
            </w:r>
          </w:p>
        </w:tc>
        <w:tc>
          <w:tcPr>
            <w:tcW w:w="682" w:type="dxa"/>
            <w:tcBorders>
              <w:top w:val="single" w:color="000000" w:sz="4" w:space="0"/>
              <w:left w:val="nil"/>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243"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85" w:type="dxa"/>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829" w:type="dxa"/>
            <w:gridSpan w:val="2"/>
            <w:vMerge w:val="restart"/>
            <w:tcBorders>
              <w:top w:val="nil"/>
              <w:left w:val="nil"/>
              <w:bottom w:val="single" w:color="000000" w:sz="4" w:space="0"/>
              <w:right w:val="single" w:color="auto" w:sz="4" w:space="0"/>
            </w:tcBorders>
            <w:vAlign w:val="center"/>
          </w:tcPr>
          <w:p>
            <w:pPr>
              <w:autoSpaceDE w:val="0"/>
              <w:spacing w:line="240" w:lineRule="auto"/>
              <w:ind w:firstLine="0" w:firstLineChars="0"/>
              <w:jc w:val="center"/>
              <w:rPr>
                <w:rFonts w:cs="Times New Roman"/>
                <w:iCs/>
                <w:color w:val="auto"/>
                <w:kern w:val="0"/>
                <w:sz w:val="21"/>
                <w:szCs w:val="21"/>
              </w:rPr>
            </w:pPr>
            <w:r>
              <w:rPr>
                <w:rFonts w:ascii="宋体" w:hAnsi="宋体" w:cs="Times New Roman"/>
                <w:color w:val="auto"/>
                <w:sz w:val="21"/>
                <w:szCs w:val="21"/>
              </w:rPr>
              <w:t>颗粒物</w:t>
            </w:r>
          </w:p>
        </w:tc>
        <w:tc>
          <w:tcPr>
            <w:tcW w:w="1783" w:type="dxa"/>
            <w:gridSpan w:val="2"/>
            <w:tcBorders>
              <w:top w:val="single" w:color="000000" w:sz="4" w:space="0"/>
              <w:left w:val="nil"/>
              <w:bottom w:val="single" w:color="000000"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ascii="宋体" w:hAnsi="宋体" w:cs="Times New Roman"/>
                <w:color w:val="auto"/>
                <w:sz w:val="21"/>
                <w:szCs w:val="21"/>
              </w:rPr>
              <w:t>实测浓度（</w:t>
            </w:r>
            <w:r>
              <w:rPr>
                <w:rFonts w:cs="Times New Roman"/>
                <w:color w:val="auto"/>
                <w:sz w:val="21"/>
                <w:szCs w:val="21"/>
              </w:rPr>
              <w:t>mg/m</w:t>
            </w:r>
            <w:r>
              <w:rPr>
                <w:rFonts w:cs="Times New Roman"/>
                <w:color w:val="auto"/>
                <w:sz w:val="21"/>
                <w:szCs w:val="21"/>
                <w:vertAlign w:val="superscript"/>
              </w:rPr>
              <w:t>3</w:t>
            </w:r>
            <w:r>
              <w:rPr>
                <w:rFonts w:ascii="宋体" w:hAnsi="宋体" w:cs="Times New Roman"/>
                <w:color w:val="auto"/>
                <w:sz w:val="21"/>
                <w:szCs w:val="21"/>
              </w:rPr>
              <w:t>）</w:t>
            </w:r>
          </w:p>
        </w:tc>
        <w:tc>
          <w:tcPr>
            <w:tcW w:w="866" w:type="dxa"/>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cs="Times New Roman"/>
                <w:color w:val="auto"/>
                <w:sz w:val="21"/>
                <w:szCs w:val="21"/>
              </w:rPr>
              <w:t>20.9</w:t>
            </w:r>
          </w:p>
        </w:tc>
        <w:tc>
          <w:tcPr>
            <w:tcW w:w="866" w:type="dxa"/>
            <w:gridSpan w:val="2"/>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cs="Times New Roman"/>
                <w:color w:val="auto"/>
                <w:sz w:val="21"/>
                <w:szCs w:val="21"/>
              </w:rPr>
              <w:t>21.8</w:t>
            </w:r>
          </w:p>
        </w:tc>
        <w:tc>
          <w:tcPr>
            <w:tcW w:w="868" w:type="dxa"/>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cs="Times New Roman"/>
                <w:color w:val="auto"/>
                <w:sz w:val="21"/>
                <w:szCs w:val="21"/>
              </w:rPr>
              <w:t>22.7</w:t>
            </w:r>
          </w:p>
        </w:tc>
        <w:tc>
          <w:tcPr>
            <w:tcW w:w="682" w:type="dxa"/>
            <w:tcBorders>
              <w:top w:val="single" w:color="000000" w:sz="4" w:space="0"/>
              <w:left w:val="nil"/>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30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243"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85" w:type="dxa"/>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829" w:type="dxa"/>
            <w:gridSpan w:val="2"/>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iCs/>
                <w:color w:val="auto"/>
                <w:kern w:val="0"/>
                <w:sz w:val="21"/>
                <w:szCs w:val="21"/>
              </w:rPr>
            </w:pPr>
          </w:p>
        </w:tc>
        <w:tc>
          <w:tcPr>
            <w:tcW w:w="1783" w:type="dxa"/>
            <w:gridSpan w:val="2"/>
            <w:tcBorders>
              <w:top w:val="single" w:color="000000" w:sz="4" w:space="0"/>
              <w:left w:val="nil"/>
              <w:bottom w:val="single" w:color="000000" w:sz="4" w:space="0"/>
              <w:right w:val="single" w:color="auto" w:sz="4" w:space="0"/>
            </w:tcBorders>
            <w:vAlign w:val="center"/>
          </w:tcPr>
          <w:p>
            <w:pPr>
              <w:autoSpaceDE w:val="0"/>
              <w:adjustRightInd w:val="0"/>
              <w:spacing w:line="240" w:lineRule="auto"/>
              <w:ind w:firstLine="0" w:firstLineChars="0"/>
              <w:jc w:val="center"/>
              <w:rPr>
                <w:rFonts w:cs="Times New Roman"/>
                <w:iCs/>
                <w:color w:val="auto"/>
                <w:kern w:val="0"/>
                <w:sz w:val="21"/>
                <w:szCs w:val="21"/>
              </w:rPr>
            </w:pPr>
            <w:r>
              <w:rPr>
                <w:rFonts w:ascii="宋体" w:hAnsi="宋体" w:cs="Times New Roman"/>
                <w:iCs/>
                <w:color w:val="auto"/>
                <w:kern w:val="0"/>
                <w:sz w:val="21"/>
                <w:szCs w:val="21"/>
              </w:rPr>
              <w:t>排放速率（</w:t>
            </w:r>
            <w:r>
              <w:rPr>
                <w:rFonts w:cs="Times New Roman"/>
                <w:iCs/>
                <w:color w:val="auto"/>
                <w:kern w:val="0"/>
                <w:sz w:val="21"/>
                <w:szCs w:val="21"/>
              </w:rPr>
              <w:t>kg/h</w:t>
            </w:r>
            <w:r>
              <w:rPr>
                <w:rFonts w:ascii="宋体" w:hAnsi="宋体" w:cs="Times New Roman"/>
                <w:iCs/>
                <w:color w:val="auto"/>
                <w:kern w:val="0"/>
                <w:sz w:val="21"/>
                <w:szCs w:val="21"/>
              </w:rPr>
              <w:t>）</w:t>
            </w:r>
          </w:p>
        </w:tc>
        <w:tc>
          <w:tcPr>
            <w:tcW w:w="866" w:type="dxa"/>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0.56 </w:t>
            </w:r>
          </w:p>
        </w:tc>
        <w:tc>
          <w:tcPr>
            <w:tcW w:w="866" w:type="dxa"/>
            <w:gridSpan w:val="2"/>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0.58 </w:t>
            </w:r>
          </w:p>
        </w:tc>
        <w:tc>
          <w:tcPr>
            <w:tcW w:w="868" w:type="dxa"/>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0.60 </w:t>
            </w:r>
          </w:p>
        </w:tc>
        <w:tc>
          <w:tcPr>
            <w:tcW w:w="682" w:type="dxa"/>
            <w:tcBorders>
              <w:top w:val="single" w:color="000000" w:sz="4" w:space="0"/>
              <w:left w:val="nil"/>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1.45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243"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85" w:type="dxa"/>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829" w:type="dxa"/>
            <w:gridSpan w:val="2"/>
            <w:vMerge w:val="restart"/>
            <w:tcBorders>
              <w:top w:val="nil"/>
              <w:left w:val="nil"/>
              <w:bottom w:val="single" w:color="000000" w:sz="4" w:space="0"/>
              <w:right w:val="single" w:color="auto" w:sz="4" w:space="0"/>
            </w:tcBorders>
            <w:vAlign w:val="center"/>
          </w:tcPr>
          <w:p>
            <w:pPr>
              <w:autoSpaceDE w:val="0"/>
              <w:spacing w:line="240" w:lineRule="auto"/>
              <w:ind w:firstLine="0" w:firstLineChars="0"/>
              <w:jc w:val="center"/>
              <w:rPr>
                <w:rFonts w:cs="Times New Roman"/>
                <w:iCs/>
                <w:color w:val="auto"/>
                <w:kern w:val="0"/>
                <w:sz w:val="21"/>
                <w:szCs w:val="21"/>
              </w:rPr>
            </w:pPr>
            <w:r>
              <w:rPr>
                <w:rFonts w:ascii="宋体" w:hAnsi="宋体" w:cs="Times New Roman"/>
                <w:color w:val="auto"/>
                <w:sz w:val="21"/>
                <w:szCs w:val="21"/>
              </w:rPr>
              <w:t>二氧化硫</w:t>
            </w:r>
          </w:p>
        </w:tc>
        <w:tc>
          <w:tcPr>
            <w:tcW w:w="1783" w:type="dxa"/>
            <w:gridSpan w:val="2"/>
            <w:tcBorders>
              <w:top w:val="single" w:color="000000" w:sz="4" w:space="0"/>
              <w:left w:val="nil"/>
              <w:bottom w:val="single" w:color="000000"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ascii="宋体" w:hAnsi="宋体" w:cs="Times New Roman"/>
                <w:color w:val="auto"/>
                <w:sz w:val="21"/>
                <w:szCs w:val="21"/>
              </w:rPr>
              <w:t>实测浓度（</w:t>
            </w:r>
            <w:r>
              <w:rPr>
                <w:rFonts w:cs="Times New Roman"/>
                <w:color w:val="auto"/>
                <w:sz w:val="21"/>
                <w:szCs w:val="21"/>
              </w:rPr>
              <w:t>mg/m</w:t>
            </w:r>
            <w:r>
              <w:rPr>
                <w:rFonts w:cs="Times New Roman"/>
                <w:color w:val="auto"/>
                <w:sz w:val="21"/>
                <w:szCs w:val="21"/>
                <w:vertAlign w:val="superscript"/>
              </w:rPr>
              <w:t>3</w:t>
            </w:r>
            <w:r>
              <w:rPr>
                <w:rFonts w:ascii="宋体" w:hAnsi="宋体" w:cs="Times New Roman"/>
                <w:color w:val="auto"/>
                <w:sz w:val="21"/>
                <w:szCs w:val="21"/>
              </w:rPr>
              <w:t>）</w:t>
            </w:r>
          </w:p>
        </w:tc>
        <w:tc>
          <w:tcPr>
            <w:tcW w:w="866" w:type="dxa"/>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cs="Times New Roman"/>
                <w:color w:val="auto"/>
                <w:sz w:val="21"/>
                <w:szCs w:val="21"/>
              </w:rPr>
              <w:t>ND</w:t>
            </w:r>
          </w:p>
        </w:tc>
        <w:tc>
          <w:tcPr>
            <w:tcW w:w="866" w:type="dxa"/>
            <w:gridSpan w:val="2"/>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cs="Times New Roman"/>
                <w:color w:val="auto"/>
                <w:sz w:val="21"/>
                <w:szCs w:val="21"/>
              </w:rPr>
              <w:t>ND</w:t>
            </w:r>
          </w:p>
        </w:tc>
        <w:tc>
          <w:tcPr>
            <w:tcW w:w="868" w:type="dxa"/>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cs="Times New Roman"/>
                <w:color w:val="auto"/>
                <w:sz w:val="21"/>
                <w:szCs w:val="21"/>
              </w:rPr>
              <w:t>ND</w:t>
            </w:r>
          </w:p>
        </w:tc>
        <w:tc>
          <w:tcPr>
            <w:tcW w:w="682" w:type="dxa"/>
            <w:tcBorders>
              <w:top w:val="single" w:color="000000" w:sz="4" w:space="0"/>
              <w:left w:val="nil"/>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200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243"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85" w:type="dxa"/>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829" w:type="dxa"/>
            <w:gridSpan w:val="2"/>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iCs/>
                <w:color w:val="auto"/>
                <w:kern w:val="0"/>
                <w:sz w:val="21"/>
                <w:szCs w:val="21"/>
              </w:rPr>
            </w:pPr>
          </w:p>
        </w:tc>
        <w:tc>
          <w:tcPr>
            <w:tcW w:w="1783" w:type="dxa"/>
            <w:gridSpan w:val="2"/>
            <w:tcBorders>
              <w:top w:val="single" w:color="000000" w:sz="4" w:space="0"/>
              <w:left w:val="nil"/>
              <w:bottom w:val="single" w:color="000000" w:sz="4" w:space="0"/>
              <w:right w:val="single" w:color="auto" w:sz="4" w:space="0"/>
            </w:tcBorders>
            <w:vAlign w:val="center"/>
          </w:tcPr>
          <w:p>
            <w:pPr>
              <w:autoSpaceDE w:val="0"/>
              <w:adjustRightInd w:val="0"/>
              <w:spacing w:line="240" w:lineRule="auto"/>
              <w:ind w:firstLine="0" w:firstLineChars="0"/>
              <w:jc w:val="center"/>
              <w:rPr>
                <w:rFonts w:cs="Times New Roman"/>
                <w:iCs/>
                <w:color w:val="auto"/>
                <w:kern w:val="0"/>
                <w:sz w:val="21"/>
                <w:szCs w:val="21"/>
              </w:rPr>
            </w:pPr>
            <w:r>
              <w:rPr>
                <w:rFonts w:ascii="宋体" w:hAnsi="宋体" w:cs="Times New Roman"/>
                <w:iCs/>
                <w:color w:val="auto"/>
                <w:kern w:val="0"/>
                <w:sz w:val="21"/>
                <w:szCs w:val="21"/>
              </w:rPr>
              <w:t>排放速率（</w:t>
            </w:r>
            <w:r>
              <w:rPr>
                <w:rFonts w:cs="Times New Roman"/>
                <w:iCs/>
                <w:color w:val="auto"/>
                <w:kern w:val="0"/>
                <w:sz w:val="21"/>
                <w:szCs w:val="21"/>
              </w:rPr>
              <w:t>kg/h</w:t>
            </w:r>
            <w:r>
              <w:rPr>
                <w:rFonts w:ascii="宋体" w:hAnsi="宋体" w:cs="Times New Roman"/>
                <w:iCs/>
                <w:color w:val="auto"/>
                <w:kern w:val="0"/>
                <w:sz w:val="21"/>
                <w:szCs w:val="21"/>
              </w:rPr>
              <w:t>）</w:t>
            </w:r>
          </w:p>
        </w:tc>
        <w:tc>
          <w:tcPr>
            <w:tcW w:w="866" w:type="dxa"/>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w:t>
            </w:r>
          </w:p>
        </w:tc>
        <w:tc>
          <w:tcPr>
            <w:tcW w:w="866" w:type="dxa"/>
            <w:gridSpan w:val="2"/>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w:t>
            </w:r>
          </w:p>
        </w:tc>
        <w:tc>
          <w:tcPr>
            <w:tcW w:w="868" w:type="dxa"/>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w:t>
            </w:r>
          </w:p>
        </w:tc>
        <w:tc>
          <w:tcPr>
            <w:tcW w:w="682" w:type="dxa"/>
            <w:tcBorders>
              <w:top w:val="single" w:color="000000" w:sz="4" w:space="0"/>
              <w:left w:val="nil"/>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243"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85" w:type="dxa"/>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829" w:type="dxa"/>
            <w:gridSpan w:val="2"/>
            <w:vMerge w:val="restart"/>
            <w:tcBorders>
              <w:top w:val="nil"/>
              <w:left w:val="nil"/>
              <w:bottom w:val="single" w:color="000000" w:sz="4" w:space="0"/>
              <w:right w:val="single" w:color="auto" w:sz="4" w:space="0"/>
            </w:tcBorders>
            <w:vAlign w:val="center"/>
          </w:tcPr>
          <w:p>
            <w:pPr>
              <w:autoSpaceDE w:val="0"/>
              <w:spacing w:line="240" w:lineRule="auto"/>
              <w:ind w:firstLine="0" w:firstLineChars="0"/>
              <w:jc w:val="center"/>
              <w:rPr>
                <w:rFonts w:cs="Times New Roman"/>
                <w:iCs/>
                <w:color w:val="auto"/>
                <w:kern w:val="0"/>
                <w:sz w:val="21"/>
                <w:szCs w:val="21"/>
              </w:rPr>
            </w:pPr>
            <w:r>
              <w:rPr>
                <w:rFonts w:ascii="宋体" w:hAnsi="宋体" w:cs="Times New Roman"/>
                <w:color w:val="auto"/>
                <w:sz w:val="21"/>
                <w:szCs w:val="21"/>
              </w:rPr>
              <w:t>氮氧化物</w:t>
            </w:r>
          </w:p>
        </w:tc>
        <w:tc>
          <w:tcPr>
            <w:tcW w:w="1783" w:type="dxa"/>
            <w:gridSpan w:val="2"/>
            <w:tcBorders>
              <w:top w:val="single" w:color="000000" w:sz="4" w:space="0"/>
              <w:left w:val="nil"/>
              <w:bottom w:val="single" w:color="000000"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ascii="宋体" w:hAnsi="宋体" w:cs="Times New Roman"/>
                <w:color w:val="auto"/>
                <w:sz w:val="21"/>
                <w:szCs w:val="21"/>
              </w:rPr>
              <w:t>实测浓度（</w:t>
            </w:r>
            <w:r>
              <w:rPr>
                <w:rFonts w:cs="Times New Roman"/>
                <w:color w:val="auto"/>
                <w:sz w:val="21"/>
                <w:szCs w:val="21"/>
              </w:rPr>
              <w:t>mg/m</w:t>
            </w:r>
            <w:r>
              <w:rPr>
                <w:rFonts w:cs="Times New Roman"/>
                <w:color w:val="auto"/>
                <w:sz w:val="21"/>
                <w:szCs w:val="21"/>
                <w:vertAlign w:val="superscript"/>
              </w:rPr>
              <w:t>3</w:t>
            </w:r>
            <w:r>
              <w:rPr>
                <w:rFonts w:ascii="宋体" w:hAnsi="宋体" w:cs="Times New Roman"/>
                <w:color w:val="auto"/>
                <w:sz w:val="21"/>
                <w:szCs w:val="21"/>
              </w:rPr>
              <w:t>）</w:t>
            </w:r>
          </w:p>
        </w:tc>
        <w:tc>
          <w:tcPr>
            <w:tcW w:w="866" w:type="dxa"/>
            <w:tcBorders>
              <w:top w:val="single" w:color="000000" w:sz="4" w:space="0"/>
              <w:left w:val="nil"/>
              <w:bottom w:val="single" w:color="auto"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ND</w:t>
            </w:r>
          </w:p>
        </w:tc>
        <w:tc>
          <w:tcPr>
            <w:tcW w:w="866" w:type="dxa"/>
            <w:gridSpan w:val="2"/>
            <w:tcBorders>
              <w:top w:val="single" w:color="000000" w:sz="4" w:space="0"/>
              <w:left w:val="nil"/>
              <w:bottom w:val="single" w:color="auto"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ND</w:t>
            </w:r>
          </w:p>
        </w:tc>
        <w:tc>
          <w:tcPr>
            <w:tcW w:w="868" w:type="dxa"/>
            <w:tcBorders>
              <w:top w:val="single" w:color="000000" w:sz="4" w:space="0"/>
              <w:left w:val="nil"/>
              <w:bottom w:val="single" w:color="auto"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ND</w:t>
            </w:r>
          </w:p>
        </w:tc>
        <w:tc>
          <w:tcPr>
            <w:tcW w:w="682" w:type="dxa"/>
            <w:tcBorders>
              <w:top w:val="single" w:color="000000" w:sz="4" w:space="0"/>
              <w:left w:val="nil"/>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300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243"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85" w:type="dxa"/>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829" w:type="dxa"/>
            <w:gridSpan w:val="2"/>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iCs/>
                <w:color w:val="auto"/>
                <w:kern w:val="0"/>
                <w:sz w:val="21"/>
                <w:szCs w:val="21"/>
              </w:rPr>
            </w:pPr>
          </w:p>
        </w:tc>
        <w:tc>
          <w:tcPr>
            <w:tcW w:w="1783" w:type="dxa"/>
            <w:gridSpan w:val="2"/>
            <w:tcBorders>
              <w:top w:val="single" w:color="000000" w:sz="4" w:space="0"/>
              <w:left w:val="nil"/>
              <w:bottom w:val="single" w:color="000000" w:sz="4" w:space="0"/>
              <w:right w:val="single" w:color="auto" w:sz="4" w:space="0"/>
            </w:tcBorders>
            <w:vAlign w:val="center"/>
          </w:tcPr>
          <w:p>
            <w:pPr>
              <w:autoSpaceDE w:val="0"/>
              <w:adjustRightInd w:val="0"/>
              <w:spacing w:line="240" w:lineRule="auto"/>
              <w:ind w:firstLine="0" w:firstLineChars="0"/>
              <w:jc w:val="center"/>
              <w:rPr>
                <w:rFonts w:cs="Times New Roman"/>
                <w:iCs/>
                <w:color w:val="auto"/>
                <w:kern w:val="0"/>
                <w:sz w:val="21"/>
                <w:szCs w:val="21"/>
              </w:rPr>
            </w:pPr>
            <w:r>
              <w:rPr>
                <w:rFonts w:ascii="宋体" w:hAnsi="宋体" w:cs="Times New Roman"/>
                <w:iCs/>
                <w:color w:val="auto"/>
                <w:kern w:val="0"/>
                <w:sz w:val="21"/>
                <w:szCs w:val="21"/>
              </w:rPr>
              <w:t>排放速率（</w:t>
            </w:r>
            <w:r>
              <w:rPr>
                <w:rFonts w:cs="Times New Roman"/>
                <w:iCs/>
                <w:color w:val="auto"/>
                <w:kern w:val="0"/>
                <w:sz w:val="21"/>
                <w:szCs w:val="21"/>
              </w:rPr>
              <w:t>kg/h</w:t>
            </w:r>
            <w:r>
              <w:rPr>
                <w:rFonts w:ascii="宋体" w:hAnsi="宋体" w:cs="Times New Roman"/>
                <w:iCs/>
                <w:color w:val="auto"/>
                <w:kern w:val="0"/>
                <w:sz w:val="21"/>
                <w:szCs w:val="21"/>
              </w:rPr>
              <w:t>）</w:t>
            </w:r>
          </w:p>
        </w:tc>
        <w:tc>
          <w:tcPr>
            <w:tcW w:w="866" w:type="dxa"/>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w:t>
            </w:r>
          </w:p>
        </w:tc>
        <w:tc>
          <w:tcPr>
            <w:tcW w:w="866" w:type="dxa"/>
            <w:gridSpan w:val="2"/>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w:t>
            </w:r>
          </w:p>
        </w:tc>
        <w:tc>
          <w:tcPr>
            <w:tcW w:w="868" w:type="dxa"/>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w:t>
            </w:r>
          </w:p>
        </w:tc>
        <w:tc>
          <w:tcPr>
            <w:tcW w:w="682" w:type="dxa"/>
            <w:tcBorders>
              <w:top w:val="single" w:color="000000" w:sz="4" w:space="0"/>
              <w:left w:val="nil"/>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243"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85" w:type="dxa"/>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2612" w:type="dxa"/>
            <w:gridSpan w:val="4"/>
            <w:tcBorders>
              <w:top w:val="single" w:color="000000" w:sz="4" w:space="0"/>
              <w:left w:val="nil"/>
              <w:bottom w:val="single" w:color="000000"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ascii="宋体" w:hAnsi="宋体" w:cs="Times New Roman"/>
                <w:iCs/>
                <w:color w:val="auto"/>
                <w:kern w:val="0"/>
                <w:sz w:val="21"/>
                <w:szCs w:val="21"/>
              </w:rPr>
              <w:t>标干流量（</w:t>
            </w:r>
            <w:r>
              <w:rPr>
                <w:rFonts w:cs="Times New Roman"/>
                <w:iCs/>
                <w:color w:val="auto"/>
                <w:kern w:val="0"/>
                <w:sz w:val="21"/>
                <w:szCs w:val="21"/>
              </w:rPr>
              <w:t>m</w:t>
            </w:r>
            <w:r>
              <w:rPr>
                <w:rFonts w:cs="Times New Roman"/>
                <w:iCs/>
                <w:color w:val="auto"/>
                <w:kern w:val="0"/>
                <w:sz w:val="21"/>
                <w:szCs w:val="21"/>
                <w:vertAlign w:val="superscript"/>
              </w:rPr>
              <w:t>3</w:t>
            </w:r>
            <w:r>
              <w:rPr>
                <w:rFonts w:cs="Times New Roman"/>
                <w:iCs/>
                <w:color w:val="auto"/>
                <w:kern w:val="0"/>
                <w:sz w:val="21"/>
                <w:szCs w:val="21"/>
              </w:rPr>
              <w:t>/h</w:t>
            </w:r>
            <w:r>
              <w:rPr>
                <w:rFonts w:ascii="宋体" w:hAnsi="宋体" w:cs="Times New Roman"/>
                <w:iCs/>
                <w:color w:val="auto"/>
                <w:kern w:val="0"/>
                <w:sz w:val="21"/>
                <w:szCs w:val="21"/>
              </w:rPr>
              <w:t>）</w:t>
            </w:r>
          </w:p>
        </w:tc>
        <w:tc>
          <w:tcPr>
            <w:tcW w:w="866" w:type="dxa"/>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cs="Times New Roman"/>
                <w:color w:val="auto"/>
                <w:sz w:val="21"/>
                <w:szCs w:val="21"/>
              </w:rPr>
              <w:t>26586</w:t>
            </w:r>
          </w:p>
        </w:tc>
        <w:tc>
          <w:tcPr>
            <w:tcW w:w="866" w:type="dxa"/>
            <w:gridSpan w:val="2"/>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cs="Times New Roman"/>
                <w:color w:val="auto"/>
                <w:sz w:val="21"/>
                <w:szCs w:val="21"/>
              </w:rPr>
              <w:t>26542</w:t>
            </w:r>
          </w:p>
        </w:tc>
        <w:tc>
          <w:tcPr>
            <w:tcW w:w="868" w:type="dxa"/>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cs="Times New Roman"/>
                <w:color w:val="auto"/>
                <w:sz w:val="21"/>
                <w:szCs w:val="21"/>
              </w:rPr>
              <w:t>26577</w:t>
            </w:r>
          </w:p>
        </w:tc>
        <w:tc>
          <w:tcPr>
            <w:tcW w:w="682" w:type="dxa"/>
            <w:tcBorders>
              <w:top w:val="single" w:color="000000" w:sz="4" w:space="0"/>
              <w:left w:val="nil"/>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243" w:type="dxa"/>
            <w:vMerge w:val="restart"/>
            <w:tcBorders>
              <w:top w:val="nil"/>
              <w:left w:val="single" w:color="000000" w:sz="4" w:space="0"/>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2025.12.1</w:t>
            </w:r>
            <w:r>
              <w:rPr>
                <w:rFonts w:hint="eastAsia" w:cs="Times New Roman"/>
                <w:color w:val="auto"/>
                <w:sz w:val="21"/>
                <w:szCs w:val="21"/>
              </w:rPr>
              <w:t>1</w:t>
            </w:r>
          </w:p>
        </w:tc>
        <w:tc>
          <w:tcPr>
            <w:tcW w:w="1385" w:type="dxa"/>
            <w:vMerge w:val="restart"/>
            <w:tcBorders>
              <w:top w:val="nil"/>
              <w:left w:val="nil"/>
              <w:bottom w:val="single" w:color="000000" w:sz="4" w:space="0"/>
              <w:right w:val="single" w:color="auto" w:sz="4" w:space="0"/>
            </w:tcBorders>
            <w:vAlign w:val="center"/>
          </w:tcPr>
          <w:p>
            <w:pPr>
              <w:spacing w:line="240" w:lineRule="auto"/>
              <w:ind w:firstLine="0" w:firstLineChars="0"/>
              <w:jc w:val="center"/>
              <w:rPr>
                <w:rFonts w:cs="Times New Roman"/>
                <w:iCs/>
                <w:color w:val="auto"/>
                <w:kern w:val="0"/>
                <w:sz w:val="21"/>
                <w:szCs w:val="21"/>
              </w:rPr>
            </w:pPr>
            <w:r>
              <w:rPr>
                <w:rFonts w:ascii="宋体" w:hAnsi="宋体" w:cs="Times New Roman"/>
                <w:color w:val="auto"/>
                <w:sz w:val="21"/>
                <w:szCs w:val="21"/>
              </w:rPr>
              <w:t>胶合有机废气、清抹有机废气、喷漆废气（喷漆房</w:t>
            </w:r>
            <w:r>
              <w:rPr>
                <w:rFonts w:cs="Times New Roman"/>
                <w:color w:val="auto"/>
                <w:sz w:val="21"/>
                <w:szCs w:val="21"/>
              </w:rPr>
              <w:t>2</w:t>
            </w:r>
            <w:r>
              <w:rPr>
                <w:rFonts w:ascii="宋体" w:hAnsi="宋体" w:cs="Times New Roman"/>
                <w:color w:val="auto"/>
                <w:sz w:val="21"/>
                <w:szCs w:val="21"/>
              </w:rPr>
              <w:t>）、烘干废气（烤漆炉</w:t>
            </w:r>
            <w:r>
              <w:rPr>
                <w:rFonts w:cs="Times New Roman"/>
                <w:color w:val="auto"/>
                <w:sz w:val="21"/>
                <w:szCs w:val="21"/>
              </w:rPr>
              <w:t>2</w:t>
            </w:r>
            <w:r>
              <w:rPr>
                <w:rFonts w:ascii="宋体" w:hAnsi="宋体" w:cs="Times New Roman"/>
                <w:color w:val="auto"/>
                <w:sz w:val="21"/>
                <w:szCs w:val="21"/>
              </w:rPr>
              <w:t>）、液化石油气燃烧废气（烤漆炉</w:t>
            </w:r>
            <w:r>
              <w:rPr>
                <w:rFonts w:cs="Times New Roman"/>
                <w:color w:val="auto"/>
                <w:sz w:val="21"/>
                <w:szCs w:val="21"/>
              </w:rPr>
              <w:t>2</w:t>
            </w:r>
            <w:r>
              <w:rPr>
                <w:rFonts w:ascii="宋体" w:hAnsi="宋体" w:cs="Times New Roman"/>
                <w:color w:val="auto"/>
                <w:sz w:val="21"/>
                <w:szCs w:val="21"/>
              </w:rPr>
              <w:t>）排放口（</w:t>
            </w:r>
            <w:r>
              <w:rPr>
                <w:rFonts w:cs="Times New Roman"/>
                <w:color w:val="auto"/>
                <w:sz w:val="21"/>
                <w:szCs w:val="21"/>
              </w:rPr>
              <w:t>DA002</w:t>
            </w:r>
            <w:r>
              <w:rPr>
                <w:rFonts w:ascii="宋体" w:hAnsi="宋体" w:cs="Times New Roman"/>
                <w:color w:val="auto"/>
                <w:sz w:val="21"/>
                <w:szCs w:val="21"/>
              </w:rPr>
              <w:t>）</w:t>
            </w:r>
          </w:p>
        </w:tc>
        <w:tc>
          <w:tcPr>
            <w:tcW w:w="829" w:type="dxa"/>
            <w:gridSpan w:val="2"/>
            <w:vMerge w:val="restart"/>
            <w:tcBorders>
              <w:top w:val="nil"/>
              <w:left w:val="nil"/>
              <w:bottom w:val="single" w:color="000000" w:sz="4" w:space="0"/>
              <w:right w:val="single" w:color="auto" w:sz="4" w:space="0"/>
            </w:tcBorders>
            <w:vAlign w:val="center"/>
          </w:tcPr>
          <w:p>
            <w:pPr>
              <w:adjustRightInd w:val="0"/>
              <w:spacing w:line="240" w:lineRule="auto"/>
              <w:ind w:firstLine="0" w:firstLineChars="0"/>
              <w:jc w:val="center"/>
              <w:rPr>
                <w:rFonts w:cs="Times New Roman"/>
                <w:iCs/>
                <w:color w:val="auto"/>
                <w:kern w:val="0"/>
                <w:sz w:val="21"/>
                <w:szCs w:val="21"/>
              </w:rPr>
            </w:pPr>
            <w:r>
              <w:rPr>
                <w:rFonts w:ascii="宋体" w:hAnsi="宋体" w:cs="Times New Roman"/>
                <w:color w:val="auto"/>
                <w:kern w:val="0"/>
                <w:sz w:val="21"/>
                <w:szCs w:val="21"/>
              </w:rPr>
              <w:t>总</w:t>
            </w:r>
            <w:r>
              <w:rPr>
                <w:rFonts w:cs="Times New Roman"/>
                <w:color w:val="auto"/>
                <w:kern w:val="0"/>
                <w:sz w:val="21"/>
                <w:szCs w:val="21"/>
              </w:rPr>
              <w:t>VOCs</w:t>
            </w:r>
          </w:p>
        </w:tc>
        <w:tc>
          <w:tcPr>
            <w:tcW w:w="1783" w:type="dxa"/>
            <w:gridSpan w:val="2"/>
            <w:tcBorders>
              <w:top w:val="single" w:color="000000" w:sz="4" w:space="0"/>
              <w:left w:val="nil"/>
              <w:bottom w:val="single" w:color="000000" w:sz="4" w:space="0"/>
              <w:right w:val="single" w:color="auto" w:sz="4" w:space="0"/>
            </w:tcBorders>
            <w:vAlign w:val="center"/>
          </w:tcPr>
          <w:p>
            <w:pPr>
              <w:autoSpaceDE w:val="0"/>
              <w:adjustRightInd w:val="0"/>
              <w:spacing w:line="240" w:lineRule="auto"/>
              <w:ind w:firstLine="0" w:firstLineChars="0"/>
              <w:jc w:val="left"/>
              <w:rPr>
                <w:rFonts w:cs="Times New Roman"/>
                <w:iCs/>
                <w:color w:val="auto"/>
                <w:kern w:val="0"/>
                <w:sz w:val="21"/>
                <w:szCs w:val="21"/>
              </w:rPr>
            </w:pPr>
            <w:r>
              <w:rPr>
                <w:rFonts w:ascii="宋体" w:hAnsi="宋体" w:cs="Times New Roman"/>
                <w:color w:val="auto"/>
                <w:sz w:val="21"/>
                <w:szCs w:val="21"/>
              </w:rPr>
              <w:t>实测浓度（</w:t>
            </w:r>
            <w:r>
              <w:rPr>
                <w:rFonts w:cs="Times New Roman"/>
                <w:color w:val="auto"/>
                <w:sz w:val="21"/>
                <w:szCs w:val="21"/>
              </w:rPr>
              <w:t>mg/m</w:t>
            </w:r>
            <w:r>
              <w:rPr>
                <w:rFonts w:cs="Times New Roman"/>
                <w:color w:val="auto"/>
                <w:sz w:val="21"/>
                <w:szCs w:val="21"/>
                <w:vertAlign w:val="superscript"/>
              </w:rPr>
              <w:t>3</w:t>
            </w:r>
            <w:r>
              <w:rPr>
                <w:rFonts w:ascii="宋体" w:hAnsi="宋体" w:cs="Times New Roman"/>
                <w:color w:val="auto"/>
                <w:sz w:val="21"/>
                <w:szCs w:val="21"/>
              </w:rPr>
              <w:t>）</w:t>
            </w:r>
          </w:p>
        </w:tc>
        <w:tc>
          <w:tcPr>
            <w:tcW w:w="866" w:type="dxa"/>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1.33 </w:t>
            </w:r>
          </w:p>
        </w:tc>
        <w:tc>
          <w:tcPr>
            <w:tcW w:w="866" w:type="dxa"/>
            <w:gridSpan w:val="2"/>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1.14 </w:t>
            </w:r>
          </w:p>
        </w:tc>
        <w:tc>
          <w:tcPr>
            <w:tcW w:w="868" w:type="dxa"/>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1.08 </w:t>
            </w:r>
          </w:p>
        </w:tc>
        <w:tc>
          <w:tcPr>
            <w:tcW w:w="682" w:type="dxa"/>
            <w:tcBorders>
              <w:top w:val="single" w:color="000000" w:sz="4" w:space="0"/>
              <w:left w:val="nil"/>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100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243"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85" w:type="dxa"/>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iCs/>
                <w:color w:val="auto"/>
                <w:kern w:val="0"/>
                <w:sz w:val="21"/>
                <w:szCs w:val="21"/>
              </w:rPr>
            </w:pPr>
          </w:p>
        </w:tc>
        <w:tc>
          <w:tcPr>
            <w:tcW w:w="829" w:type="dxa"/>
            <w:gridSpan w:val="2"/>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iCs/>
                <w:color w:val="auto"/>
                <w:kern w:val="0"/>
                <w:sz w:val="21"/>
                <w:szCs w:val="21"/>
              </w:rPr>
            </w:pPr>
          </w:p>
        </w:tc>
        <w:tc>
          <w:tcPr>
            <w:tcW w:w="1783" w:type="dxa"/>
            <w:gridSpan w:val="2"/>
            <w:tcBorders>
              <w:top w:val="single" w:color="000000" w:sz="4" w:space="0"/>
              <w:left w:val="nil"/>
              <w:bottom w:val="single" w:color="000000" w:sz="4" w:space="0"/>
              <w:right w:val="single" w:color="auto" w:sz="4" w:space="0"/>
            </w:tcBorders>
            <w:vAlign w:val="center"/>
          </w:tcPr>
          <w:p>
            <w:pPr>
              <w:autoSpaceDE w:val="0"/>
              <w:adjustRightInd w:val="0"/>
              <w:spacing w:line="240" w:lineRule="auto"/>
              <w:ind w:firstLine="0" w:firstLineChars="0"/>
              <w:jc w:val="left"/>
              <w:rPr>
                <w:rFonts w:cs="Times New Roman"/>
                <w:iCs/>
                <w:color w:val="auto"/>
                <w:kern w:val="0"/>
                <w:sz w:val="21"/>
                <w:szCs w:val="21"/>
              </w:rPr>
            </w:pPr>
            <w:r>
              <w:rPr>
                <w:rFonts w:ascii="宋体" w:hAnsi="宋体" w:cs="Times New Roman"/>
                <w:iCs/>
                <w:color w:val="auto"/>
                <w:kern w:val="0"/>
                <w:sz w:val="21"/>
                <w:szCs w:val="21"/>
              </w:rPr>
              <w:t>排放速率（</w:t>
            </w:r>
            <w:r>
              <w:rPr>
                <w:rFonts w:cs="Times New Roman"/>
                <w:iCs/>
                <w:color w:val="auto"/>
                <w:kern w:val="0"/>
                <w:sz w:val="21"/>
                <w:szCs w:val="21"/>
              </w:rPr>
              <w:t>kg/h</w:t>
            </w:r>
            <w:r>
              <w:rPr>
                <w:rFonts w:ascii="宋体" w:hAnsi="宋体" w:cs="Times New Roman"/>
                <w:iCs/>
                <w:color w:val="auto"/>
                <w:kern w:val="0"/>
                <w:sz w:val="21"/>
                <w:szCs w:val="21"/>
              </w:rPr>
              <w:t>）</w:t>
            </w:r>
          </w:p>
        </w:tc>
        <w:tc>
          <w:tcPr>
            <w:tcW w:w="866" w:type="dxa"/>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0.035 </w:t>
            </w:r>
          </w:p>
        </w:tc>
        <w:tc>
          <w:tcPr>
            <w:tcW w:w="866" w:type="dxa"/>
            <w:gridSpan w:val="2"/>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0.030 </w:t>
            </w:r>
          </w:p>
        </w:tc>
        <w:tc>
          <w:tcPr>
            <w:tcW w:w="868" w:type="dxa"/>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0.029 </w:t>
            </w:r>
          </w:p>
        </w:tc>
        <w:tc>
          <w:tcPr>
            <w:tcW w:w="682" w:type="dxa"/>
            <w:tcBorders>
              <w:top w:val="single" w:color="000000" w:sz="4" w:space="0"/>
              <w:left w:val="nil"/>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243"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85" w:type="dxa"/>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iCs/>
                <w:color w:val="auto"/>
                <w:kern w:val="0"/>
                <w:sz w:val="21"/>
                <w:szCs w:val="21"/>
              </w:rPr>
            </w:pPr>
          </w:p>
        </w:tc>
        <w:tc>
          <w:tcPr>
            <w:tcW w:w="829" w:type="dxa"/>
            <w:gridSpan w:val="2"/>
            <w:vMerge w:val="restart"/>
            <w:tcBorders>
              <w:top w:val="nil"/>
              <w:left w:val="nil"/>
              <w:bottom w:val="single" w:color="000000" w:sz="4" w:space="0"/>
              <w:right w:val="single" w:color="auto" w:sz="4" w:space="0"/>
            </w:tcBorders>
            <w:vAlign w:val="center"/>
          </w:tcPr>
          <w:p>
            <w:pPr>
              <w:autoSpaceDE w:val="0"/>
              <w:spacing w:line="240" w:lineRule="auto"/>
              <w:ind w:firstLine="0" w:firstLineChars="0"/>
              <w:jc w:val="center"/>
              <w:rPr>
                <w:rFonts w:cs="Times New Roman"/>
                <w:iCs/>
                <w:color w:val="auto"/>
                <w:kern w:val="0"/>
                <w:sz w:val="21"/>
                <w:szCs w:val="21"/>
              </w:rPr>
            </w:pPr>
            <w:r>
              <w:rPr>
                <w:rFonts w:ascii="宋体" w:hAnsi="宋体" w:cs="Times New Roman"/>
                <w:color w:val="auto"/>
                <w:kern w:val="0"/>
                <w:sz w:val="21"/>
                <w:szCs w:val="21"/>
              </w:rPr>
              <w:t>二甲苯</w:t>
            </w:r>
          </w:p>
        </w:tc>
        <w:tc>
          <w:tcPr>
            <w:tcW w:w="1783" w:type="dxa"/>
            <w:gridSpan w:val="2"/>
            <w:tcBorders>
              <w:top w:val="single" w:color="000000" w:sz="4" w:space="0"/>
              <w:left w:val="nil"/>
              <w:bottom w:val="single" w:color="000000" w:sz="4" w:space="0"/>
              <w:right w:val="single" w:color="auto" w:sz="4" w:space="0"/>
            </w:tcBorders>
            <w:vAlign w:val="center"/>
          </w:tcPr>
          <w:p>
            <w:pPr>
              <w:autoSpaceDE w:val="0"/>
              <w:adjustRightInd w:val="0"/>
              <w:spacing w:line="240" w:lineRule="auto"/>
              <w:ind w:firstLine="0" w:firstLineChars="0"/>
              <w:jc w:val="center"/>
              <w:rPr>
                <w:rFonts w:cs="Times New Roman"/>
                <w:iCs/>
                <w:color w:val="auto"/>
                <w:kern w:val="0"/>
                <w:sz w:val="21"/>
                <w:szCs w:val="21"/>
              </w:rPr>
            </w:pPr>
            <w:r>
              <w:rPr>
                <w:rFonts w:ascii="宋体" w:hAnsi="宋体" w:cs="Times New Roman"/>
                <w:color w:val="auto"/>
                <w:sz w:val="21"/>
                <w:szCs w:val="21"/>
              </w:rPr>
              <w:t>实测浓度（</w:t>
            </w:r>
            <w:r>
              <w:rPr>
                <w:rFonts w:cs="Times New Roman"/>
                <w:color w:val="auto"/>
                <w:sz w:val="21"/>
                <w:szCs w:val="21"/>
              </w:rPr>
              <w:t>mg/m</w:t>
            </w:r>
            <w:r>
              <w:rPr>
                <w:rFonts w:cs="Times New Roman"/>
                <w:color w:val="auto"/>
                <w:sz w:val="21"/>
                <w:szCs w:val="21"/>
                <w:vertAlign w:val="superscript"/>
              </w:rPr>
              <w:t>3</w:t>
            </w:r>
            <w:r>
              <w:rPr>
                <w:rFonts w:ascii="宋体" w:hAnsi="宋体" w:cs="Times New Roman"/>
                <w:color w:val="auto"/>
                <w:sz w:val="21"/>
                <w:szCs w:val="21"/>
              </w:rPr>
              <w:t>）</w:t>
            </w:r>
          </w:p>
        </w:tc>
        <w:tc>
          <w:tcPr>
            <w:tcW w:w="866" w:type="dxa"/>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kern w:val="0"/>
                <w:sz w:val="21"/>
                <w:szCs w:val="21"/>
              </w:rPr>
            </w:pPr>
            <w:r>
              <w:rPr>
                <w:rFonts w:cs="Times New Roman"/>
                <w:color w:val="auto"/>
                <w:sz w:val="21"/>
                <w:szCs w:val="21"/>
              </w:rPr>
              <w:t>ND</w:t>
            </w:r>
          </w:p>
        </w:tc>
        <w:tc>
          <w:tcPr>
            <w:tcW w:w="866" w:type="dxa"/>
            <w:gridSpan w:val="2"/>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kern w:val="0"/>
                <w:sz w:val="21"/>
                <w:szCs w:val="21"/>
              </w:rPr>
            </w:pPr>
            <w:r>
              <w:rPr>
                <w:rFonts w:cs="Times New Roman"/>
                <w:color w:val="auto"/>
                <w:sz w:val="21"/>
                <w:szCs w:val="21"/>
              </w:rPr>
              <w:t>ND</w:t>
            </w:r>
          </w:p>
        </w:tc>
        <w:tc>
          <w:tcPr>
            <w:tcW w:w="868" w:type="dxa"/>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kern w:val="0"/>
                <w:sz w:val="21"/>
                <w:szCs w:val="21"/>
              </w:rPr>
            </w:pPr>
            <w:r>
              <w:rPr>
                <w:rFonts w:cs="Times New Roman"/>
                <w:color w:val="auto"/>
                <w:sz w:val="21"/>
                <w:szCs w:val="21"/>
              </w:rPr>
              <w:t>ND</w:t>
            </w:r>
          </w:p>
        </w:tc>
        <w:tc>
          <w:tcPr>
            <w:tcW w:w="682" w:type="dxa"/>
            <w:tcBorders>
              <w:top w:val="single" w:color="000000" w:sz="4" w:space="0"/>
              <w:left w:val="nil"/>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40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243"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85" w:type="dxa"/>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iCs/>
                <w:color w:val="auto"/>
                <w:kern w:val="0"/>
                <w:sz w:val="21"/>
                <w:szCs w:val="21"/>
              </w:rPr>
            </w:pPr>
          </w:p>
        </w:tc>
        <w:tc>
          <w:tcPr>
            <w:tcW w:w="829" w:type="dxa"/>
            <w:gridSpan w:val="2"/>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iCs/>
                <w:color w:val="auto"/>
                <w:kern w:val="0"/>
                <w:sz w:val="21"/>
                <w:szCs w:val="21"/>
              </w:rPr>
            </w:pPr>
          </w:p>
        </w:tc>
        <w:tc>
          <w:tcPr>
            <w:tcW w:w="1783" w:type="dxa"/>
            <w:gridSpan w:val="2"/>
            <w:tcBorders>
              <w:top w:val="single" w:color="000000" w:sz="4" w:space="0"/>
              <w:left w:val="nil"/>
              <w:bottom w:val="single" w:color="000000" w:sz="4" w:space="0"/>
              <w:right w:val="single" w:color="auto" w:sz="4" w:space="0"/>
            </w:tcBorders>
            <w:vAlign w:val="center"/>
          </w:tcPr>
          <w:p>
            <w:pPr>
              <w:autoSpaceDE w:val="0"/>
              <w:adjustRightInd w:val="0"/>
              <w:spacing w:line="240" w:lineRule="auto"/>
              <w:ind w:firstLine="0" w:firstLineChars="0"/>
              <w:jc w:val="center"/>
              <w:rPr>
                <w:rFonts w:cs="Times New Roman"/>
                <w:iCs/>
                <w:color w:val="auto"/>
                <w:kern w:val="0"/>
                <w:sz w:val="21"/>
                <w:szCs w:val="21"/>
              </w:rPr>
            </w:pPr>
            <w:r>
              <w:rPr>
                <w:rFonts w:ascii="宋体" w:hAnsi="宋体" w:cs="Times New Roman"/>
                <w:iCs/>
                <w:color w:val="auto"/>
                <w:kern w:val="0"/>
                <w:sz w:val="21"/>
                <w:szCs w:val="21"/>
              </w:rPr>
              <w:t>排放速率（</w:t>
            </w:r>
            <w:r>
              <w:rPr>
                <w:rFonts w:cs="Times New Roman"/>
                <w:iCs/>
                <w:color w:val="auto"/>
                <w:kern w:val="0"/>
                <w:sz w:val="21"/>
                <w:szCs w:val="21"/>
              </w:rPr>
              <w:t>kg/h</w:t>
            </w:r>
            <w:r>
              <w:rPr>
                <w:rFonts w:ascii="宋体" w:hAnsi="宋体" w:cs="Times New Roman"/>
                <w:iCs/>
                <w:color w:val="auto"/>
                <w:kern w:val="0"/>
                <w:sz w:val="21"/>
                <w:szCs w:val="21"/>
              </w:rPr>
              <w:t>）</w:t>
            </w:r>
          </w:p>
        </w:tc>
        <w:tc>
          <w:tcPr>
            <w:tcW w:w="866" w:type="dxa"/>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kern w:val="0"/>
                <w:sz w:val="21"/>
                <w:szCs w:val="21"/>
              </w:rPr>
            </w:pPr>
            <w:r>
              <w:rPr>
                <w:rFonts w:cs="Times New Roman"/>
                <w:color w:val="auto"/>
                <w:sz w:val="21"/>
                <w:szCs w:val="21"/>
              </w:rPr>
              <w:t>--</w:t>
            </w:r>
          </w:p>
        </w:tc>
        <w:tc>
          <w:tcPr>
            <w:tcW w:w="866" w:type="dxa"/>
            <w:gridSpan w:val="2"/>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kern w:val="0"/>
                <w:sz w:val="21"/>
                <w:szCs w:val="21"/>
              </w:rPr>
            </w:pPr>
            <w:r>
              <w:rPr>
                <w:rFonts w:cs="Times New Roman"/>
                <w:color w:val="auto"/>
                <w:sz w:val="21"/>
                <w:szCs w:val="21"/>
              </w:rPr>
              <w:t>--</w:t>
            </w:r>
          </w:p>
        </w:tc>
        <w:tc>
          <w:tcPr>
            <w:tcW w:w="868" w:type="dxa"/>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kern w:val="0"/>
                <w:sz w:val="21"/>
                <w:szCs w:val="21"/>
              </w:rPr>
            </w:pPr>
            <w:r>
              <w:rPr>
                <w:rFonts w:cs="Times New Roman"/>
                <w:color w:val="auto"/>
                <w:sz w:val="21"/>
                <w:szCs w:val="21"/>
              </w:rPr>
              <w:t>--</w:t>
            </w:r>
          </w:p>
        </w:tc>
        <w:tc>
          <w:tcPr>
            <w:tcW w:w="682" w:type="dxa"/>
            <w:tcBorders>
              <w:top w:val="single" w:color="000000" w:sz="4" w:space="0"/>
              <w:left w:val="nil"/>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243"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85" w:type="dxa"/>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iCs/>
                <w:color w:val="auto"/>
                <w:kern w:val="0"/>
                <w:sz w:val="21"/>
                <w:szCs w:val="21"/>
              </w:rPr>
            </w:pPr>
          </w:p>
        </w:tc>
        <w:tc>
          <w:tcPr>
            <w:tcW w:w="829" w:type="dxa"/>
            <w:gridSpan w:val="2"/>
            <w:vMerge w:val="restart"/>
            <w:tcBorders>
              <w:top w:val="nil"/>
              <w:left w:val="nil"/>
              <w:bottom w:val="single" w:color="000000" w:sz="4" w:space="0"/>
              <w:right w:val="single" w:color="auto" w:sz="4" w:space="0"/>
            </w:tcBorders>
            <w:vAlign w:val="center"/>
          </w:tcPr>
          <w:p>
            <w:pPr>
              <w:autoSpaceDE w:val="0"/>
              <w:spacing w:line="240" w:lineRule="auto"/>
              <w:ind w:firstLine="0" w:firstLineChars="0"/>
              <w:jc w:val="center"/>
              <w:rPr>
                <w:rFonts w:cs="Times New Roman"/>
                <w:iCs/>
                <w:color w:val="auto"/>
                <w:kern w:val="0"/>
                <w:sz w:val="21"/>
                <w:szCs w:val="21"/>
              </w:rPr>
            </w:pPr>
            <w:r>
              <w:rPr>
                <w:rFonts w:ascii="宋体" w:hAnsi="宋体" w:cs="Times New Roman"/>
                <w:color w:val="auto"/>
                <w:sz w:val="21"/>
                <w:szCs w:val="21"/>
              </w:rPr>
              <w:t>颗粒物</w:t>
            </w:r>
          </w:p>
        </w:tc>
        <w:tc>
          <w:tcPr>
            <w:tcW w:w="1783" w:type="dxa"/>
            <w:gridSpan w:val="2"/>
            <w:tcBorders>
              <w:top w:val="single" w:color="000000" w:sz="4" w:space="0"/>
              <w:left w:val="nil"/>
              <w:bottom w:val="single" w:color="000000" w:sz="4" w:space="0"/>
              <w:right w:val="single" w:color="auto" w:sz="4" w:space="0"/>
            </w:tcBorders>
            <w:vAlign w:val="center"/>
          </w:tcPr>
          <w:p>
            <w:pPr>
              <w:autoSpaceDE w:val="0"/>
              <w:adjustRightInd w:val="0"/>
              <w:spacing w:line="240" w:lineRule="auto"/>
              <w:ind w:firstLine="0" w:firstLineChars="0"/>
              <w:jc w:val="center"/>
              <w:rPr>
                <w:rFonts w:cs="Times New Roman"/>
                <w:iCs/>
                <w:color w:val="auto"/>
                <w:kern w:val="0"/>
                <w:sz w:val="21"/>
                <w:szCs w:val="21"/>
              </w:rPr>
            </w:pPr>
            <w:r>
              <w:rPr>
                <w:rFonts w:ascii="宋体" w:hAnsi="宋体" w:cs="Times New Roman"/>
                <w:color w:val="auto"/>
                <w:sz w:val="21"/>
                <w:szCs w:val="21"/>
              </w:rPr>
              <w:t>实测浓度（</w:t>
            </w:r>
            <w:r>
              <w:rPr>
                <w:rFonts w:cs="Times New Roman"/>
                <w:color w:val="auto"/>
                <w:sz w:val="21"/>
                <w:szCs w:val="21"/>
              </w:rPr>
              <w:t>mg/m</w:t>
            </w:r>
            <w:r>
              <w:rPr>
                <w:rFonts w:cs="Times New Roman"/>
                <w:color w:val="auto"/>
                <w:sz w:val="21"/>
                <w:szCs w:val="21"/>
                <w:vertAlign w:val="superscript"/>
              </w:rPr>
              <w:t>3</w:t>
            </w:r>
            <w:r>
              <w:rPr>
                <w:rFonts w:ascii="宋体" w:hAnsi="宋体" w:cs="Times New Roman"/>
                <w:color w:val="auto"/>
                <w:sz w:val="21"/>
                <w:szCs w:val="21"/>
              </w:rPr>
              <w:t>）</w:t>
            </w:r>
          </w:p>
        </w:tc>
        <w:tc>
          <w:tcPr>
            <w:tcW w:w="866" w:type="dxa"/>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cs="Times New Roman"/>
                <w:color w:val="auto"/>
                <w:sz w:val="21"/>
                <w:szCs w:val="21"/>
              </w:rPr>
              <w:t>21.3</w:t>
            </w:r>
          </w:p>
        </w:tc>
        <w:tc>
          <w:tcPr>
            <w:tcW w:w="866" w:type="dxa"/>
            <w:gridSpan w:val="2"/>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cs="Times New Roman"/>
                <w:color w:val="auto"/>
                <w:sz w:val="21"/>
                <w:szCs w:val="21"/>
              </w:rPr>
              <w:t>22.1</w:t>
            </w:r>
          </w:p>
        </w:tc>
        <w:tc>
          <w:tcPr>
            <w:tcW w:w="868" w:type="dxa"/>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cs="Times New Roman"/>
                <w:color w:val="auto"/>
                <w:sz w:val="21"/>
                <w:szCs w:val="21"/>
              </w:rPr>
              <w:t>20.6</w:t>
            </w:r>
          </w:p>
        </w:tc>
        <w:tc>
          <w:tcPr>
            <w:tcW w:w="682" w:type="dxa"/>
            <w:tcBorders>
              <w:top w:val="single" w:color="000000" w:sz="4" w:space="0"/>
              <w:left w:val="nil"/>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30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243"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85" w:type="dxa"/>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iCs/>
                <w:color w:val="auto"/>
                <w:kern w:val="0"/>
                <w:sz w:val="21"/>
                <w:szCs w:val="21"/>
              </w:rPr>
            </w:pPr>
          </w:p>
        </w:tc>
        <w:tc>
          <w:tcPr>
            <w:tcW w:w="829" w:type="dxa"/>
            <w:gridSpan w:val="2"/>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iCs/>
                <w:color w:val="auto"/>
                <w:kern w:val="0"/>
                <w:sz w:val="21"/>
                <w:szCs w:val="21"/>
              </w:rPr>
            </w:pPr>
          </w:p>
        </w:tc>
        <w:tc>
          <w:tcPr>
            <w:tcW w:w="1783" w:type="dxa"/>
            <w:gridSpan w:val="2"/>
            <w:tcBorders>
              <w:top w:val="single" w:color="000000" w:sz="4" w:space="0"/>
              <w:left w:val="nil"/>
              <w:bottom w:val="single" w:color="000000" w:sz="4" w:space="0"/>
              <w:right w:val="single" w:color="auto" w:sz="4" w:space="0"/>
            </w:tcBorders>
            <w:vAlign w:val="center"/>
          </w:tcPr>
          <w:p>
            <w:pPr>
              <w:autoSpaceDE w:val="0"/>
              <w:adjustRightInd w:val="0"/>
              <w:spacing w:line="240" w:lineRule="auto"/>
              <w:ind w:firstLine="0" w:firstLineChars="0"/>
              <w:jc w:val="center"/>
              <w:rPr>
                <w:rFonts w:cs="Times New Roman"/>
                <w:iCs/>
                <w:color w:val="auto"/>
                <w:kern w:val="0"/>
                <w:sz w:val="21"/>
                <w:szCs w:val="21"/>
              </w:rPr>
            </w:pPr>
            <w:r>
              <w:rPr>
                <w:rFonts w:ascii="宋体" w:hAnsi="宋体" w:cs="Times New Roman"/>
                <w:iCs/>
                <w:color w:val="auto"/>
                <w:kern w:val="0"/>
                <w:sz w:val="21"/>
                <w:szCs w:val="21"/>
              </w:rPr>
              <w:t>排放速率（</w:t>
            </w:r>
            <w:r>
              <w:rPr>
                <w:rFonts w:cs="Times New Roman"/>
                <w:iCs/>
                <w:color w:val="auto"/>
                <w:kern w:val="0"/>
                <w:sz w:val="21"/>
                <w:szCs w:val="21"/>
              </w:rPr>
              <w:t>kg/h</w:t>
            </w:r>
            <w:r>
              <w:rPr>
                <w:rFonts w:ascii="宋体" w:hAnsi="宋体" w:cs="Times New Roman"/>
                <w:iCs/>
                <w:color w:val="auto"/>
                <w:kern w:val="0"/>
                <w:sz w:val="21"/>
                <w:szCs w:val="21"/>
              </w:rPr>
              <w:t>）</w:t>
            </w:r>
          </w:p>
        </w:tc>
        <w:tc>
          <w:tcPr>
            <w:tcW w:w="866" w:type="dxa"/>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0.57 </w:t>
            </w:r>
          </w:p>
        </w:tc>
        <w:tc>
          <w:tcPr>
            <w:tcW w:w="866" w:type="dxa"/>
            <w:gridSpan w:val="2"/>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0.59 </w:t>
            </w:r>
          </w:p>
        </w:tc>
        <w:tc>
          <w:tcPr>
            <w:tcW w:w="868" w:type="dxa"/>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0.55 </w:t>
            </w:r>
          </w:p>
        </w:tc>
        <w:tc>
          <w:tcPr>
            <w:tcW w:w="682" w:type="dxa"/>
            <w:tcBorders>
              <w:top w:val="single" w:color="000000" w:sz="4" w:space="0"/>
              <w:left w:val="nil"/>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1.45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243"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85" w:type="dxa"/>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iCs/>
                <w:color w:val="auto"/>
                <w:kern w:val="0"/>
                <w:sz w:val="21"/>
                <w:szCs w:val="21"/>
              </w:rPr>
            </w:pPr>
          </w:p>
        </w:tc>
        <w:tc>
          <w:tcPr>
            <w:tcW w:w="829" w:type="dxa"/>
            <w:gridSpan w:val="2"/>
            <w:vMerge w:val="restart"/>
            <w:tcBorders>
              <w:top w:val="nil"/>
              <w:left w:val="nil"/>
              <w:bottom w:val="single" w:color="000000" w:sz="4" w:space="0"/>
              <w:right w:val="single" w:color="auto" w:sz="4" w:space="0"/>
            </w:tcBorders>
            <w:vAlign w:val="center"/>
          </w:tcPr>
          <w:p>
            <w:pPr>
              <w:autoSpaceDE w:val="0"/>
              <w:spacing w:line="240" w:lineRule="auto"/>
              <w:ind w:firstLine="0" w:firstLineChars="0"/>
              <w:jc w:val="center"/>
              <w:rPr>
                <w:rFonts w:cs="Times New Roman"/>
                <w:iCs/>
                <w:color w:val="auto"/>
                <w:kern w:val="0"/>
                <w:sz w:val="21"/>
                <w:szCs w:val="21"/>
              </w:rPr>
            </w:pPr>
            <w:r>
              <w:rPr>
                <w:rFonts w:ascii="宋体" w:hAnsi="宋体" w:cs="Times New Roman"/>
                <w:color w:val="auto"/>
                <w:sz w:val="21"/>
                <w:szCs w:val="21"/>
              </w:rPr>
              <w:t>二氧化硫</w:t>
            </w:r>
          </w:p>
        </w:tc>
        <w:tc>
          <w:tcPr>
            <w:tcW w:w="1783" w:type="dxa"/>
            <w:gridSpan w:val="2"/>
            <w:tcBorders>
              <w:top w:val="single" w:color="000000" w:sz="4" w:space="0"/>
              <w:left w:val="nil"/>
              <w:bottom w:val="single" w:color="000000" w:sz="4" w:space="0"/>
              <w:right w:val="single" w:color="auto" w:sz="4" w:space="0"/>
            </w:tcBorders>
            <w:vAlign w:val="center"/>
          </w:tcPr>
          <w:p>
            <w:pPr>
              <w:autoSpaceDE w:val="0"/>
              <w:adjustRightInd w:val="0"/>
              <w:spacing w:line="240" w:lineRule="auto"/>
              <w:ind w:firstLine="0" w:firstLineChars="0"/>
              <w:jc w:val="center"/>
              <w:rPr>
                <w:rFonts w:cs="Times New Roman"/>
                <w:iCs/>
                <w:color w:val="auto"/>
                <w:kern w:val="0"/>
                <w:sz w:val="21"/>
                <w:szCs w:val="21"/>
              </w:rPr>
            </w:pPr>
            <w:r>
              <w:rPr>
                <w:rFonts w:ascii="宋体" w:hAnsi="宋体" w:cs="Times New Roman"/>
                <w:color w:val="auto"/>
                <w:sz w:val="21"/>
                <w:szCs w:val="21"/>
              </w:rPr>
              <w:t>实测浓度（</w:t>
            </w:r>
            <w:r>
              <w:rPr>
                <w:rFonts w:cs="Times New Roman"/>
                <w:color w:val="auto"/>
                <w:sz w:val="21"/>
                <w:szCs w:val="21"/>
              </w:rPr>
              <w:t>mg/m</w:t>
            </w:r>
            <w:r>
              <w:rPr>
                <w:rFonts w:cs="Times New Roman"/>
                <w:color w:val="auto"/>
                <w:sz w:val="21"/>
                <w:szCs w:val="21"/>
                <w:vertAlign w:val="superscript"/>
              </w:rPr>
              <w:t>3</w:t>
            </w:r>
            <w:r>
              <w:rPr>
                <w:rFonts w:ascii="宋体" w:hAnsi="宋体" w:cs="Times New Roman"/>
                <w:color w:val="auto"/>
                <w:sz w:val="21"/>
                <w:szCs w:val="21"/>
              </w:rPr>
              <w:t>）</w:t>
            </w:r>
          </w:p>
        </w:tc>
        <w:tc>
          <w:tcPr>
            <w:tcW w:w="866" w:type="dxa"/>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kern w:val="0"/>
                <w:sz w:val="21"/>
                <w:szCs w:val="21"/>
              </w:rPr>
            </w:pPr>
            <w:r>
              <w:rPr>
                <w:rFonts w:cs="Times New Roman"/>
                <w:color w:val="auto"/>
                <w:sz w:val="21"/>
                <w:szCs w:val="21"/>
              </w:rPr>
              <w:t>ND</w:t>
            </w:r>
          </w:p>
        </w:tc>
        <w:tc>
          <w:tcPr>
            <w:tcW w:w="866" w:type="dxa"/>
            <w:gridSpan w:val="2"/>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kern w:val="0"/>
                <w:sz w:val="21"/>
                <w:szCs w:val="21"/>
              </w:rPr>
            </w:pPr>
            <w:r>
              <w:rPr>
                <w:rFonts w:cs="Times New Roman"/>
                <w:color w:val="auto"/>
                <w:sz w:val="21"/>
                <w:szCs w:val="21"/>
              </w:rPr>
              <w:t>ND</w:t>
            </w:r>
          </w:p>
        </w:tc>
        <w:tc>
          <w:tcPr>
            <w:tcW w:w="868" w:type="dxa"/>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kern w:val="0"/>
                <w:sz w:val="21"/>
                <w:szCs w:val="21"/>
              </w:rPr>
            </w:pPr>
            <w:r>
              <w:rPr>
                <w:rFonts w:cs="Times New Roman"/>
                <w:color w:val="auto"/>
                <w:sz w:val="21"/>
                <w:szCs w:val="21"/>
              </w:rPr>
              <w:t>ND</w:t>
            </w:r>
          </w:p>
        </w:tc>
        <w:tc>
          <w:tcPr>
            <w:tcW w:w="682" w:type="dxa"/>
            <w:tcBorders>
              <w:top w:val="single" w:color="000000" w:sz="4" w:space="0"/>
              <w:left w:val="nil"/>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200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243"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85" w:type="dxa"/>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iCs/>
                <w:color w:val="auto"/>
                <w:kern w:val="0"/>
                <w:sz w:val="21"/>
                <w:szCs w:val="21"/>
              </w:rPr>
            </w:pPr>
          </w:p>
        </w:tc>
        <w:tc>
          <w:tcPr>
            <w:tcW w:w="829" w:type="dxa"/>
            <w:gridSpan w:val="2"/>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iCs/>
                <w:color w:val="auto"/>
                <w:kern w:val="0"/>
                <w:sz w:val="21"/>
                <w:szCs w:val="21"/>
              </w:rPr>
            </w:pPr>
          </w:p>
        </w:tc>
        <w:tc>
          <w:tcPr>
            <w:tcW w:w="1783" w:type="dxa"/>
            <w:gridSpan w:val="2"/>
            <w:tcBorders>
              <w:top w:val="single" w:color="000000" w:sz="4" w:space="0"/>
              <w:left w:val="nil"/>
              <w:bottom w:val="single" w:color="000000" w:sz="4" w:space="0"/>
              <w:right w:val="single" w:color="auto" w:sz="4" w:space="0"/>
            </w:tcBorders>
            <w:vAlign w:val="center"/>
          </w:tcPr>
          <w:p>
            <w:pPr>
              <w:autoSpaceDE w:val="0"/>
              <w:adjustRightInd w:val="0"/>
              <w:spacing w:line="240" w:lineRule="auto"/>
              <w:ind w:firstLine="0" w:firstLineChars="0"/>
              <w:jc w:val="center"/>
              <w:rPr>
                <w:rFonts w:cs="Times New Roman"/>
                <w:iCs/>
                <w:color w:val="auto"/>
                <w:kern w:val="0"/>
                <w:sz w:val="21"/>
                <w:szCs w:val="21"/>
              </w:rPr>
            </w:pPr>
            <w:r>
              <w:rPr>
                <w:rFonts w:ascii="宋体" w:hAnsi="宋体" w:cs="Times New Roman"/>
                <w:iCs/>
                <w:color w:val="auto"/>
                <w:kern w:val="0"/>
                <w:sz w:val="21"/>
                <w:szCs w:val="21"/>
              </w:rPr>
              <w:t>排放速率（</w:t>
            </w:r>
            <w:r>
              <w:rPr>
                <w:rFonts w:cs="Times New Roman"/>
                <w:iCs/>
                <w:color w:val="auto"/>
                <w:kern w:val="0"/>
                <w:sz w:val="21"/>
                <w:szCs w:val="21"/>
              </w:rPr>
              <w:t>kg/h</w:t>
            </w:r>
            <w:r>
              <w:rPr>
                <w:rFonts w:ascii="宋体" w:hAnsi="宋体" w:cs="Times New Roman"/>
                <w:iCs/>
                <w:color w:val="auto"/>
                <w:kern w:val="0"/>
                <w:sz w:val="21"/>
                <w:szCs w:val="21"/>
              </w:rPr>
              <w:t>）</w:t>
            </w:r>
          </w:p>
        </w:tc>
        <w:tc>
          <w:tcPr>
            <w:tcW w:w="866" w:type="dxa"/>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w:t>
            </w:r>
          </w:p>
        </w:tc>
        <w:tc>
          <w:tcPr>
            <w:tcW w:w="866" w:type="dxa"/>
            <w:gridSpan w:val="2"/>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w:t>
            </w:r>
          </w:p>
        </w:tc>
        <w:tc>
          <w:tcPr>
            <w:tcW w:w="868" w:type="dxa"/>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w:t>
            </w:r>
          </w:p>
        </w:tc>
        <w:tc>
          <w:tcPr>
            <w:tcW w:w="682" w:type="dxa"/>
            <w:tcBorders>
              <w:top w:val="single" w:color="000000" w:sz="4" w:space="0"/>
              <w:left w:val="nil"/>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243"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85" w:type="dxa"/>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iCs/>
                <w:color w:val="auto"/>
                <w:kern w:val="0"/>
                <w:sz w:val="21"/>
                <w:szCs w:val="21"/>
              </w:rPr>
            </w:pPr>
          </w:p>
        </w:tc>
        <w:tc>
          <w:tcPr>
            <w:tcW w:w="829" w:type="dxa"/>
            <w:gridSpan w:val="2"/>
            <w:vMerge w:val="restart"/>
            <w:tcBorders>
              <w:top w:val="nil"/>
              <w:left w:val="nil"/>
              <w:bottom w:val="single" w:color="000000" w:sz="4" w:space="0"/>
              <w:right w:val="single" w:color="auto" w:sz="4" w:space="0"/>
            </w:tcBorders>
            <w:vAlign w:val="center"/>
          </w:tcPr>
          <w:p>
            <w:pPr>
              <w:autoSpaceDE w:val="0"/>
              <w:spacing w:line="240" w:lineRule="auto"/>
              <w:ind w:firstLine="0" w:firstLineChars="0"/>
              <w:jc w:val="center"/>
              <w:rPr>
                <w:rFonts w:cs="Times New Roman"/>
                <w:iCs/>
                <w:color w:val="auto"/>
                <w:kern w:val="0"/>
                <w:sz w:val="21"/>
                <w:szCs w:val="21"/>
              </w:rPr>
            </w:pPr>
            <w:r>
              <w:rPr>
                <w:rFonts w:ascii="宋体" w:hAnsi="宋体" w:cs="Times New Roman"/>
                <w:color w:val="auto"/>
                <w:sz w:val="21"/>
                <w:szCs w:val="21"/>
              </w:rPr>
              <w:t>氮氧化物</w:t>
            </w:r>
          </w:p>
        </w:tc>
        <w:tc>
          <w:tcPr>
            <w:tcW w:w="1783" w:type="dxa"/>
            <w:gridSpan w:val="2"/>
            <w:tcBorders>
              <w:top w:val="single" w:color="000000" w:sz="4" w:space="0"/>
              <w:left w:val="nil"/>
              <w:bottom w:val="single" w:color="000000" w:sz="4" w:space="0"/>
              <w:right w:val="single" w:color="auto" w:sz="4" w:space="0"/>
            </w:tcBorders>
            <w:vAlign w:val="center"/>
          </w:tcPr>
          <w:p>
            <w:pPr>
              <w:autoSpaceDE w:val="0"/>
              <w:adjustRightInd w:val="0"/>
              <w:spacing w:line="240" w:lineRule="auto"/>
              <w:ind w:firstLine="0" w:firstLineChars="0"/>
              <w:jc w:val="center"/>
              <w:rPr>
                <w:rFonts w:cs="Times New Roman"/>
                <w:iCs/>
                <w:color w:val="auto"/>
                <w:kern w:val="0"/>
                <w:sz w:val="21"/>
                <w:szCs w:val="21"/>
              </w:rPr>
            </w:pPr>
            <w:r>
              <w:rPr>
                <w:rFonts w:ascii="宋体" w:hAnsi="宋体" w:cs="Times New Roman"/>
                <w:color w:val="auto"/>
                <w:sz w:val="21"/>
                <w:szCs w:val="21"/>
              </w:rPr>
              <w:t>实测浓度（</w:t>
            </w:r>
            <w:r>
              <w:rPr>
                <w:rFonts w:cs="Times New Roman"/>
                <w:color w:val="auto"/>
                <w:sz w:val="21"/>
                <w:szCs w:val="21"/>
              </w:rPr>
              <w:t>mg/m</w:t>
            </w:r>
            <w:r>
              <w:rPr>
                <w:rFonts w:cs="Times New Roman"/>
                <w:color w:val="auto"/>
                <w:sz w:val="21"/>
                <w:szCs w:val="21"/>
                <w:vertAlign w:val="superscript"/>
              </w:rPr>
              <w:t>3</w:t>
            </w:r>
            <w:r>
              <w:rPr>
                <w:rFonts w:ascii="宋体" w:hAnsi="宋体" w:cs="Times New Roman"/>
                <w:color w:val="auto"/>
                <w:sz w:val="21"/>
                <w:szCs w:val="21"/>
              </w:rPr>
              <w:t>）</w:t>
            </w:r>
          </w:p>
        </w:tc>
        <w:tc>
          <w:tcPr>
            <w:tcW w:w="866" w:type="dxa"/>
            <w:tcBorders>
              <w:top w:val="single" w:color="000000" w:sz="4" w:space="0"/>
              <w:left w:val="nil"/>
              <w:bottom w:val="single" w:color="auto" w:sz="4" w:space="0"/>
              <w:right w:val="single" w:color="auto" w:sz="4" w:space="0"/>
            </w:tcBorders>
            <w:vAlign w:val="center"/>
          </w:tcPr>
          <w:p>
            <w:pPr>
              <w:adjustRightInd w:val="0"/>
              <w:spacing w:line="240" w:lineRule="auto"/>
              <w:ind w:firstLine="0" w:firstLineChars="0"/>
              <w:jc w:val="center"/>
              <w:rPr>
                <w:rFonts w:cs="Times New Roman"/>
                <w:color w:val="auto"/>
                <w:kern w:val="0"/>
                <w:sz w:val="21"/>
                <w:szCs w:val="21"/>
              </w:rPr>
            </w:pPr>
            <w:r>
              <w:rPr>
                <w:rFonts w:cs="Times New Roman"/>
                <w:color w:val="auto"/>
                <w:sz w:val="21"/>
                <w:szCs w:val="21"/>
              </w:rPr>
              <w:t>ND</w:t>
            </w:r>
          </w:p>
        </w:tc>
        <w:tc>
          <w:tcPr>
            <w:tcW w:w="866" w:type="dxa"/>
            <w:gridSpan w:val="2"/>
            <w:tcBorders>
              <w:top w:val="single" w:color="000000" w:sz="4" w:space="0"/>
              <w:left w:val="nil"/>
              <w:bottom w:val="single" w:color="auto" w:sz="4" w:space="0"/>
              <w:right w:val="single" w:color="auto" w:sz="4" w:space="0"/>
            </w:tcBorders>
            <w:vAlign w:val="center"/>
          </w:tcPr>
          <w:p>
            <w:pPr>
              <w:adjustRightInd w:val="0"/>
              <w:spacing w:line="240" w:lineRule="auto"/>
              <w:ind w:firstLine="0" w:firstLineChars="0"/>
              <w:jc w:val="center"/>
              <w:rPr>
                <w:rFonts w:cs="Times New Roman"/>
                <w:color w:val="auto"/>
                <w:kern w:val="0"/>
                <w:sz w:val="21"/>
                <w:szCs w:val="21"/>
              </w:rPr>
            </w:pPr>
            <w:r>
              <w:rPr>
                <w:rFonts w:cs="Times New Roman"/>
                <w:color w:val="auto"/>
                <w:sz w:val="21"/>
                <w:szCs w:val="21"/>
              </w:rPr>
              <w:t>ND</w:t>
            </w:r>
          </w:p>
        </w:tc>
        <w:tc>
          <w:tcPr>
            <w:tcW w:w="868" w:type="dxa"/>
            <w:tcBorders>
              <w:top w:val="single" w:color="000000" w:sz="4" w:space="0"/>
              <w:left w:val="nil"/>
              <w:bottom w:val="single" w:color="auto" w:sz="4" w:space="0"/>
              <w:right w:val="single" w:color="auto" w:sz="4" w:space="0"/>
            </w:tcBorders>
            <w:vAlign w:val="center"/>
          </w:tcPr>
          <w:p>
            <w:pPr>
              <w:adjustRightInd w:val="0"/>
              <w:spacing w:line="240" w:lineRule="auto"/>
              <w:ind w:firstLine="0" w:firstLineChars="0"/>
              <w:jc w:val="center"/>
              <w:rPr>
                <w:rFonts w:cs="Times New Roman"/>
                <w:color w:val="auto"/>
                <w:kern w:val="0"/>
                <w:sz w:val="21"/>
                <w:szCs w:val="21"/>
              </w:rPr>
            </w:pPr>
            <w:r>
              <w:rPr>
                <w:rFonts w:cs="Times New Roman"/>
                <w:color w:val="auto"/>
                <w:sz w:val="21"/>
                <w:szCs w:val="21"/>
              </w:rPr>
              <w:t>ND</w:t>
            </w:r>
          </w:p>
        </w:tc>
        <w:tc>
          <w:tcPr>
            <w:tcW w:w="682" w:type="dxa"/>
            <w:tcBorders>
              <w:top w:val="single" w:color="000000" w:sz="4" w:space="0"/>
              <w:left w:val="nil"/>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300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243"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85" w:type="dxa"/>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iCs/>
                <w:color w:val="auto"/>
                <w:kern w:val="0"/>
                <w:sz w:val="21"/>
                <w:szCs w:val="21"/>
              </w:rPr>
            </w:pPr>
          </w:p>
        </w:tc>
        <w:tc>
          <w:tcPr>
            <w:tcW w:w="829" w:type="dxa"/>
            <w:gridSpan w:val="2"/>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iCs/>
                <w:color w:val="auto"/>
                <w:kern w:val="0"/>
                <w:sz w:val="21"/>
                <w:szCs w:val="21"/>
              </w:rPr>
            </w:pPr>
          </w:p>
        </w:tc>
        <w:tc>
          <w:tcPr>
            <w:tcW w:w="1783" w:type="dxa"/>
            <w:gridSpan w:val="2"/>
            <w:tcBorders>
              <w:top w:val="single" w:color="000000" w:sz="4" w:space="0"/>
              <w:left w:val="nil"/>
              <w:bottom w:val="single" w:color="000000" w:sz="4" w:space="0"/>
              <w:right w:val="single" w:color="auto" w:sz="4" w:space="0"/>
            </w:tcBorders>
            <w:vAlign w:val="center"/>
          </w:tcPr>
          <w:p>
            <w:pPr>
              <w:autoSpaceDE w:val="0"/>
              <w:adjustRightInd w:val="0"/>
              <w:spacing w:line="240" w:lineRule="auto"/>
              <w:ind w:firstLine="0" w:firstLineChars="0"/>
              <w:jc w:val="center"/>
              <w:rPr>
                <w:rFonts w:cs="Times New Roman"/>
                <w:iCs/>
                <w:color w:val="auto"/>
                <w:kern w:val="0"/>
                <w:sz w:val="21"/>
                <w:szCs w:val="21"/>
              </w:rPr>
            </w:pPr>
            <w:r>
              <w:rPr>
                <w:rFonts w:ascii="宋体" w:hAnsi="宋体" w:cs="Times New Roman"/>
                <w:iCs/>
                <w:color w:val="auto"/>
                <w:kern w:val="0"/>
                <w:sz w:val="21"/>
                <w:szCs w:val="21"/>
              </w:rPr>
              <w:t>排放速率（</w:t>
            </w:r>
            <w:r>
              <w:rPr>
                <w:rFonts w:cs="Times New Roman"/>
                <w:iCs/>
                <w:color w:val="auto"/>
                <w:kern w:val="0"/>
                <w:sz w:val="21"/>
                <w:szCs w:val="21"/>
              </w:rPr>
              <w:t>kg/h</w:t>
            </w:r>
            <w:r>
              <w:rPr>
                <w:rFonts w:ascii="宋体" w:hAnsi="宋体" w:cs="Times New Roman"/>
                <w:iCs/>
                <w:color w:val="auto"/>
                <w:kern w:val="0"/>
                <w:sz w:val="21"/>
                <w:szCs w:val="21"/>
              </w:rPr>
              <w:t>）</w:t>
            </w:r>
          </w:p>
        </w:tc>
        <w:tc>
          <w:tcPr>
            <w:tcW w:w="866" w:type="dxa"/>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w:t>
            </w:r>
          </w:p>
        </w:tc>
        <w:tc>
          <w:tcPr>
            <w:tcW w:w="866" w:type="dxa"/>
            <w:gridSpan w:val="2"/>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w:t>
            </w:r>
          </w:p>
        </w:tc>
        <w:tc>
          <w:tcPr>
            <w:tcW w:w="868" w:type="dxa"/>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w:t>
            </w:r>
          </w:p>
        </w:tc>
        <w:tc>
          <w:tcPr>
            <w:tcW w:w="682" w:type="dxa"/>
            <w:tcBorders>
              <w:top w:val="single" w:color="000000" w:sz="4" w:space="0"/>
              <w:left w:val="nil"/>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243"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85" w:type="dxa"/>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iCs/>
                <w:color w:val="auto"/>
                <w:kern w:val="0"/>
                <w:sz w:val="21"/>
                <w:szCs w:val="21"/>
              </w:rPr>
            </w:pPr>
          </w:p>
        </w:tc>
        <w:tc>
          <w:tcPr>
            <w:tcW w:w="2612" w:type="dxa"/>
            <w:gridSpan w:val="4"/>
            <w:tcBorders>
              <w:top w:val="single" w:color="000000" w:sz="4" w:space="0"/>
              <w:left w:val="nil"/>
              <w:bottom w:val="single" w:color="000000"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ascii="宋体" w:hAnsi="宋体" w:cs="Times New Roman"/>
                <w:iCs/>
                <w:color w:val="auto"/>
                <w:kern w:val="0"/>
                <w:sz w:val="21"/>
                <w:szCs w:val="21"/>
              </w:rPr>
              <w:t>标干流量（</w:t>
            </w:r>
            <w:r>
              <w:rPr>
                <w:rFonts w:cs="Times New Roman"/>
                <w:iCs/>
                <w:color w:val="auto"/>
                <w:kern w:val="0"/>
                <w:sz w:val="21"/>
                <w:szCs w:val="21"/>
              </w:rPr>
              <w:t>m</w:t>
            </w:r>
            <w:r>
              <w:rPr>
                <w:rFonts w:cs="Times New Roman"/>
                <w:iCs/>
                <w:color w:val="auto"/>
                <w:kern w:val="0"/>
                <w:sz w:val="21"/>
                <w:szCs w:val="21"/>
                <w:vertAlign w:val="superscript"/>
              </w:rPr>
              <w:t>3</w:t>
            </w:r>
            <w:r>
              <w:rPr>
                <w:rFonts w:cs="Times New Roman"/>
                <w:iCs/>
                <w:color w:val="auto"/>
                <w:kern w:val="0"/>
                <w:sz w:val="21"/>
                <w:szCs w:val="21"/>
              </w:rPr>
              <w:t>/h</w:t>
            </w:r>
            <w:r>
              <w:rPr>
                <w:rFonts w:ascii="宋体" w:hAnsi="宋体" w:cs="Times New Roman"/>
                <w:iCs/>
                <w:color w:val="auto"/>
                <w:kern w:val="0"/>
                <w:sz w:val="21"/>
                <w:szCs w:val="21"/>
              </w:rPr>
              <w:t>）</w:t>
            </w:r>
          </w:p>
        </w:tc>
        <w:tc>
          <w:tcPr>
            <w:tcW w:w="866" w:type="dxa"/>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cs="Times New Roman"/>
                <w:color w:val="auto"/>
                <w:sz w:val="21"/>
                <w:szCs w:val="21"/>
              </w:rPr>
              <w:t>26553</w:t>
            </w:r>
          </w:p>
        </w:tc>
        <w:tc>
          <w:tcPr>
            <w:tcW w:w="866" w:type="dxa"/>
            <w:gridSpan w:val="2"/>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cs="Times New Roman"/>
                <w:color w:val="auto"/>
                <w:sz w:val="21"/>
                <w:szCs w:val="21"/>
              </w:rPr>
              <w:t>26538</w:t>
            </w:r>
          </w:p>
        </w:tc>
        <w:tc>
          <w:tcPr>
            <w:tcW w:w="868" w:type="dxa"/>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cs="Times New Roman"/>
                <w:color w:val="auto"/>
                <w:sz w:val="21"/>
                <w:szCs w:val="21"/>
              </w:rPr>
              <w:t>26569</w:t>
            </w:r>
          </w:p>
        </w:tc>
        <w:tc>
          <w:tcPr>
            <w:tcW w:w="682" w:type="dxa"/>
            <w:tcBorders>
              <w:top w:val="single" w:color="000000" w:sz="4" w:space="0"/>
              <w:left w:val="nil"/>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2349" w:hRule="atLeast"/>
          <w:jc w:val="center"/>
        </w:trPr>
        <w:tc>
          <w:tcPr>
            <w:tcW w:w="8522" w:type="dxa"/>
            <w:gridSpan w:val="11"/>
            <w:tcBorders>
              <w:top w:val="single" w:color="000000" w:sz="4" w:space="0"/>
              <w:left w:val="single" w:color="000000" w:sz="4" w:space="0"/>
              <w:bottom w:val="single" w:color="000000" w:sz="4" w:space="0"/>
              <w:right w:val="single" w:color="auto" w:sz="4" w:space="0"/>
            </w:tcBorders>
            <w:vAlign w:val="center"/>
          </w:tcPr>
          <w:p>
            <w:pPr>
              <w:autoSpaceDE w:val="0"/>
              <w:autoSpaceDN w:val="0"/>
              <w:adjustRightInd w:val="0"/>
              <w:spacing w:line="240" w:lineRule="auto"/>
              <w:ind w:left="945" w:hanging="945" w:hangingChars="450"/>
              <w:jc w:val="left"/>
              <w:rPr>
                <w:rFonts w:cs="Times New Roman"/>
                <w:color w:val="auto"/>
                <w:sz w:val="21"/>
                <w:szCs w:val="21"/>
              </w:rPr>
            </w:pPr>
            <w:r>
              <w:rPr>
                <w:rFonts w:ascii="宋体" w:hAnsi="宋体" w:cs="Times New Roman"/>
                <w:color w:val="auto"/>
                <w:sz w:val="21"/>
                <w:szCs w:val="21"/>
              </w:rPr>
              <w:t>备注：</w:t>
            </w:r>
            <w:r>
              <w:rPr>
                <w:rFonts w:cs="Times New Roman"/>
                <w:color w:val="auto"/>
                <w:sz w:val="21"/>
                <w:szCs w:val="21"/>
              </w:rPr>
              <w:t>1</w:t>
            </w:r>
            <w:r>
              <w:rPr>
                <w:rFonts w:ascii="宋体" w:hAnsi="宋体" w:cs="Times New Roman"/>
                <w:color w:val="auto"/>
                <w:sz w:val="21"/>
                <w:szCs w:val="21"/>
              </w:rPr>
              <w:t>、</w:t>
            </w:r>
            <w:r>
              <w:rPr>
                <w:rFonts w:ascii="宋体" w:hAnsi="宋体" w:cs="Times New Roman"/>
                <w:color w:val="auto"/>
                <w:kern w:val="0"/>
                <w:sz w:val="21"/>
                <w:szCs w:val="21"/>
              </w:rPr>
              <w:t>总</w:t>
            </w:r>
            <w:r>
              <w:rPr>
                <w:rFonts w:cs="Times New Roman"/>
                <w:color w:val="auto"/>
                <w:kern w:val="0"/>
                <w:sz w:val="21"/>
                <w:szCs w:val="21"/>
              </w:rPr>
              <w:t>VOCs</w:t>
            </w:r>
            <w:r>
              <w:rPr>
                <w:rFonts w:ascii="宋体" w:hAnsi="宋体" w:cs="Times New Roman"/>
                <w:color w:val="auto"/>
                <w:kern w:val="0"/>
                <w:sz w:val="21"/>
                <w:szCs w:val="21"/>
              </w:rPr>
              <w:t>、二甲苯</w:t>
            </w:r>
            <w:r>
              <w:rPr>
                <w:rFonts w:ascii="宋体" w:hAnsi="宋体" w:cs="Times New Roman"/>
                <w:color w:val="auto"/>
                <w:sz w:val="21"/>
                <w:szCs w:val="21"/>
              </w:rPr>
              <w:t>执行广东省《固定污染源挥发性有机物综合排放标准》（</w:t>
            </w:r>
            <w:r>
              <w:rPr>
                <w:rFonts w:cs="Times New Roman"/>
                <w:color w:val="auto"/>
                <w:sz w:val="21"/>
                <w:szCs w:val="21"/>
              </w:rPr>
              <w:t>DB44/ 2367—2022</w:t>
            </w:r>
            <w:r>
              <w:rPr>
                <w:rFonts w:ascii="宋体" w:hAnsi="宋体" w:cs="Times New Roman"/>
                <w:color w:val="auto"/>
                <w:sz w:val="21"/>
                <w:szCs w:val="21"/>
              </w:rPr>
              <w:t>）表</w:t>
            </w:r>
            <w:r>
              <w:rPr>
                <w:rFonts w:cs="Times New Roman"/>
                <w:color w:val="auto"/>
                <w:sz w:val="21"/>
                <w:szCs w:val="21"/>
              </w:rPr>
              <w:t>1</w:t>
            </w:r>
            <w:r>
              <w:rPr>
                <w:rFonts w:ascii="宋体" w:hAnsi="宋体" w:cs="Times New Roman"/>
                <w:color w:val="auto"/>
                <w:sz w:val="21"/>
                <w:szCs w:val="21"/>
              </w:rPr>
              <w:t>中有机废气的最高允许浓度限值；颗粒物执行《关于印发〈工业炉窑大气污染综合治理方案〉的通知》（环大气〔</w:t>
            </w:r>
            <w:r>
              <w:rPr>
                <w:rFonts w:cs="Times New Roman"/>
                <w:color w:val="auto"/>
                <w:sz w:val="21"/>
                <w:szCs w:val="21"/>
              </w:rPr>
              <w:t>2019</w:t>
            </w:r>
            <w:r>
              <w:rPr>
                <w:rFonts w:ascii="宋体" w:hAnsi="宋体" w:cs="Times New Roman"/>
                <w:color w:val="auto"/>
                <w:sz w:val="21"/>
                <w:szCs w:val="21"/>
              </w:rPr>
              <w:t>〕</w:t>
            </w:r>
            <w:r>
              <w:rPr>
                <w:rFonts w:cs="Times New Roman"/>
                <w:color w:val="auto"/>
                <w:sz w:val="21"/>
                <w:szCs w:val="21"/>
              </w:rPr>
              <w:t>56</w:t>
            </w:r>
            <w:r>
              <w:rPr>
                <w:rFonts w:ascii="宋体" w:hAnsi="宋体" w:cs="Times New Roman"/>
                <w:color w:val="auto"/>
                <w:sz w:val="21"/>
                <w:szCs w:val="21"/>
              </w:rPr>
              <w:t>号）重点区域排放限值和广东省《大气污染物排放限值》（</w:t>
            </w:r>
            <w:r>
              <w:rPr>
                <w:rFonts w:cs="Times New Roman"/>
                <w:color w:val="auto"/>
                <w:sz w:val="21"/>
                <w:szCs w:val="21"/>
              </w:rPr>
              <w:t>DB44/27-2001</w:t>
            </w:r>
            <w:r>
              <w:rPr>
                <w:rFonts w:ascii="宋体" w:hAnsi="宋体" w:cs="Times New Roman"/>
                <w:color w:val="auto"/>
                <w:sz w:val="21"/>
                <w:szCs w:val="21"/>
              </w:rPr>
              <w:t>）第二时段二级标准（排放速率按</w:t>
            </w:r>
            <w:r>
              <w:rPr>
                <w:rFonts w:cs="Times New Roman"/>
                <w:color w:val="auto"/>
                <w:sz w:val="21"/>
                <w:szCs w:val="21"/>
              </w:rPr>
              <w:t>50%</w:t>
            </w:r>
            <w:r>
              <w:rPr>
                <w:rFonts w:ascii="宋体" w:hAnsi="宋体" w:cs="Times New Roman"/>
                <w:color w:val="auto"/>
                <w:sz w:val="21"/>
                <w:szCs w:val="21"/>
              </w:rPr>
              <w:t>执行）的较严值；二氧化硫、氮氧化物执行《关于印发〈工业炉窑大气污染综合治理方案〉的通知》（环大气〔</w:t>
            </w:r>
            <w:r>
              <w:rPr>
                <w:rFonts w:cs="Times New Roman"/>
                <w:color w:val="auto"/>
                <w:sz w:val="21"/>
                <w:szCs w:val="21"/>
              </w:rPr>
              <w:t>2019</w:t>
            </w:r>
            <w:r>
              <w:rPr>
                <w:rFonts w:ascii="宋体" w:hAnsi="宋体" w:cs="Times New Roman"/>
                <w:color w:val="auto"/>
                <w:sz w:val="21"/>
                <w:szCs w:val="21"/>
              </w:rPr>
              <w:t>〕</w:t>
            </w:r>
            <w:r>
              <w:rPr>
                <w:rFonts w:cs="Times New Roman"/>
                <w:color w:val="auto"/>
                <w:sz w:val="21"/>
                <w:szCs w:val="21"/>
              </w:rPr>
              <w:t>56</w:t>
            </w:r>
            <w:r>
              <w:rPr>
                <w:rFonts w:ascii="宋体" w:hAnsi="宋体" w:cs="Times New Roman"/>
                <w:color w:val="auto"/>
                <w:sz w:val="21"/>
                <w:szCs w:val="21"/>
              </w:rPr>
              <w:t>号）重点区域排放限值要求；</w:t>
            </w:r>
          </w:p>
          <w:p>
            <w:pPr>
              <w:spacing w:line="240" w:lineRule="auto"/>
              <w:ind w:firstLine="630" w:firstLineChars="300"/>
              <w:rPr>
                <w:rFonts w:cs="Times New Roman"/>
                <w:color w:val="auto"/>
                <w:sz w:val="21"/>
                <w:szCs w:val="21"/>
              </w:rPr>
            </w:pPr>
            <w:r>
              <w:rPr>
                <w:rFonts w:cs="Times New Roman"/>
                <w:color w:val="auto"/>
                <w:sz w:val="21"/>
                <w:szCs w:val="21"/>
              </w:rPr>
              <w:t>2</w:t>
            </w:r>
            <w:r>
              <w:rPr>
                <w:rFonts w:ascii="宋体" w:hAnsi="宋体" w:cs="Times New Roman"/>
                <w:color w:val="auto"/>
                <w:sz w:val="21"/>
                <w:szCs w:val="21"/>
              </w:rPr>
              <w:t>、</w:t>
            </w:r>
            <w:r>
              <w:rPr>
                <w:rFonts w:cs="Times New Roman"/>
                <w:color w:val="auto"/>
                <w:sz w:val="21"/>
                <w:szCs w:val="21"/>
              </w:rPr>
              <w:t>ND</w:t>
            </w:r>
            <w:r>
              <w:rPr>
                <w:rFonts w:ascii="宋体" w:hAnsi="宋体" w:cs="Times New Roman"/>
                <w:color w:val="auto"/>
                <w:sz w:val="21"/>
                <w:szCs w:val="21"/>
              </w:rPr>
              <w:t>为未检出；</w:t>
            </w:r>
          </w:p>
          <w:p>
            <w:pPr>
              <w:spacing w:line="240" w:lineRule="auto"/>
              <w:ind w:firstLine="630" w:firstLineChars="300"/>
              <w:rPr>
                <w:rFonts w:cs="Times New Roman"/>
                <w:b/>
                <w:bCs/>
                <w:color w:val="auto"/>
                <w:sz w:val="21"/>
                <w:szCs w:val="21"/>
              </w:rPr>
            </w:pPr>
            <w:r>
              <w:rPr>
                <w:rFonts w:hint="eastAsia" w:cs="Times New Roman"/>
                <w:color w:val="auto"/>
                <w:sz w:val="21"/>
                <w:szCs w:val="21"/>
              </w:rPr>
              <w:t>3</w:t>
            </w:r>
            <w:r>
              <w:rPr>
                <w:rFonts w:ascii="宋体" w:hAnsi="宋体" w:cs="Times New Roman"/>
                <w:color w:val="auto"/>
                <w:sz w:val="21"/>
                <w:szCs w:val="21"/>
              </w:rPr>
              <w:t>、本报告结果只对当时采集的样品负责。</w:t>
            </w:r>
          </w:p>
        </w:tc>
      </w:tr>
    </w:tbl>
    <w:p>
      <w:pPr>
        <w:pStyle w:val="37"/>
        <w:rPr>
          <w:rFonts w:cs="Times New Roman"/>
          <w:color w:val="auto"/>
        </w:rPr>
      </w:pPr>
      <w:r>
        <w:rPr>
          <w:rFonts w:hint="eastAsia"/>
          <w:color w:val="auto"/>
        </w:rPr>
        <w:t>表 9.1</w:t>
      </w:r>
      <w:r>
        <w:rPr>
          <w:color w:val="auto"/>
        </w:rPr>
        <w:noBreakHyphen/>
      </w:r>
      <w:r>
        <w:rPr>
          <w:rFonts w:hint="eastAsia"/>
          <w:color w:val="auto"/>
        </w:rPr>
        <w:t>3</w:t>
      </w:r>
      <w:r>
        <w:rPr>
          <w:color w:val="auto"/>
        </w:rPr>
        <w:t xml:space="preserve"> </w:t>
      </w:r>
      <w:r>
        <w:rPr>
          <w:rFonts w:hint="eastAsia"/>
          <w:color w:val="auto"/>
        </w:rPr>
        <w:t>有组织废气检测结果（3）</w:t>
      </w:r>
    </w:p>
    <w:tbl>
      <w:tblPr>
        <w:tblStyle w:val="24"/>
        <w:tblW w:w="8522"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205"/>
        <w:gridCol w:w="1340"/>
        <w:gridCol w:w="985"/>
        <w:gridCol w:w="748"/>
        <w:gridCol w:w="578"/>
        <w:gridCol w:w="752"/>
        <w:gridCol w:w="683"/>
        <w:gridCol w:w="70"/>
        <w:gridCol w:w="752"/>
        <w:gridCol w:w="765"/>
        <w:gridCol w:w="64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5" w:hRule="atLeast"/>
          <w:jc w:val="center"/>
        </w:trPr>
        <w:tc>
          <w:tcPr>
            <w:tcW w:w="8522" w:type="dxa"/>
            <w:gridSpan w:val="11"/>
            <w:tcBorders>
              <w:top w:val="single" w:color="000000" w:sz="4" w:space="0"/>
              <w:left w:val="single" w:color="000000" w:sz="4" w:space="0"/>
              <w:bottom w:val="single" w:color="auto" w:sz="4" w:space="0"/>
              <w:right w:val="single" w:color="auto" w:sz="4" w:space="0"/>
            </w:tcBorders>
            <w:vAlign w:val="center"/>
          </w:tcPr>
          <w:p>
            <w:pPr>
              <w:adjustRightInd w:val="0"/>
              <w:spacing w:line="240" w:lineRule="auto"/>
              <w:ind w:firstLine="482" w:firstLineChars="0"/>
              <w:jc w:val="center"/>
              <w:rPr>
                <w:rFonts w:cs="Times New Roman"/>
                <w:b/>
                <w:bCs/>
                <w:color w:val="auto"/>
                <w:sz w:val="21"/>
                <w:szCs w:val="21"/>
              </w:rPr>
            </w:pPr>
            <w:r>
              <w:rPr>
                <w:rFonts w:ascii="宋体" w:hAnsi="宋体" w:cs="Times New Roman"/>
                <w:b/>
                <w:bCs/>
                <w:color w:val="auto"/>
                <w:sz w:val="21"/>
                <w:szCs w:val="21"/>
              </w:rPr>
              <w:t>污染源排放参数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425" w:hRule="atLeast"/>
          <w:jc w:val="center"/>
        </w:trPr>
        <w:tc>
          <w:tcPr>
            <w:tcW w:w="2545" w:type="dxa"/>
            <w:gridSpan w:val="2"/>
            <w:tcBorders>
              <w:top w:val="single" w:color="auto" w:sz="4" w:space="0"/>
              <w:left w:val="single" w:color="000000" w:sz="4" w:space="0"/>
              <w:bottom w:val="single" w:color="auto" w:sz="4" w:space="0"/>
              <w:right w:val="single" w:color="auto" w:sz="4" w:space="0"/>
            </w:tcBorders>
            <w:vAlign w:val="center"/>
          </w:tcPr>
          <w:p>
            <w:pPr>
              <w:autoSpaceDE w:val="0"/>
              <w:spacing w:line="240" w:lineRule="auto"/>
              <w:ind w:firstLine="0" w:firstLineChars="0"/>
              <w:jc w:val="center"/>
              <w:rPr>
                <w:rFonts w:cs="Times New Roman"/>
                <w:b/>
                <w:bCs/>
                <w:color w:val="auto"/>
                <w:sz w:val="21"/>
                <w:szCs w:val="21"/>
              </w:rPr>
            </w:pPr>
            <w:r>
              <w:rPr>
                <w:rFonts w:ascii="宋体" w:hAnsi="宋体" w:cs="Times New Roman"/>
                <w:b/>
                <w:bCs/>
                <w:iCs/>
                <w:color w:val="auto"/>
                <w:sz w:val="21"/>
                <w:szCs w:val="21"/>
              </w:rPr>
              <w:t>检测点位</w:t>
            </w:r>
          </w:p>
        </w:tc>
        <w:tc>
          <w:tcPr>
            <w:tcW w:w="1733" w:type="dxa"/>
            <w:gridSpan w:val="2"/>
            <w:tcBorders>
              <w:top w:val="single" w:color="auto" w:sz="4" w:space="0"/>
              <w:left w:val="nil"/>
              <w:bottom w:val="single" w:color="auto" w:sz="4" w:space="0"/>
              <w:right w:val="single" w:color="auto" w:sz="4" w:space="0"/>
            </w:tcBorders>
            <w:vAlign w:val="center"/>
          </w:tcPr>
          <w:p>
            <w:pPr>
              <w:autoSpaceDE w:val="0"/>
              <w:spacing w:line="240" w:lineRule="auto"/>
              <w:ind w:firstLine="0" w:firstLineChars="0"/>
              <w:jc w:val="center"/>
              <w:rPr>
                <w:rFonts w:cs="Times New Roman"/>
                <w:b/>
                <w:bCs/>
                <w:color w:val="auto"/>
                <w:sz w:val="21"/>
                <w:szCs w:val="21"/>
              </w:rPr>
            </w:pPr>
            <w:r>
              <w:rPr>
                <w:rFonts w:ascii="宋体" w:hAnsi="宋体" w:cs="Times New Roman"/>
                <w:b/>
                <w:bCs/>
                <w:iCs/>
                <w:color w:val="auto"/>
                <w:sz w:val="21"/>
                <w:szCs w:val="21"/>
              </w:rPr>
              <w:t>排气筒高度（</w:t>
            </w:r>
            <w:r>
              <w:rPr>
                <w:rFonts w:cs="Times New Roman"/>
                <w:b/>
                <w:bCs/>
                <w:iCs/>
                <w:color w:val="auto"/>
                <w:sz w:val="21"/>
                <w:szCs w:val="21"/>
              </w:rPr>
              <w:t>m</w:t>
            </w:r>
            <w:r>
              <w:rPr>
                <w:rFonts w:ascii="宋体" w:hAnsi="宋体" w:cs="Times New Roman"/>
                <w:b/>
                <w:bCs/>
                <w:iCs/>
                <w:color w:val="auto"/>
                <w:sz w:val="21"/>
                <w:szCs w:val="21"/>
              </w:rPr>
              <w:t>）</w:t>
            </w:r>
          </w:p>
        </w:tc>
        <w:tc>
          <w:tcPr>
            <w:tcW w:w="2013" w:type="dxa"/>
            <w:gridSpan w:val="3"/>
            <w:tcBorders>
              <w:top w:val="single" w:color="auto" w:sz="4" w:space="0"/>
              <w:left w:val="nil"/>
              <w:bottom w:val="single" w:color="auto" w:sz="4" w:space="0"/>
              <w:right w:val="single" w:color="auto" w:sz="4" w:space="0"/>
            </w:tcBorders>
            <w:vAlign w:val="center"/>
          </w:tcPr>
          <w:p>
            <w:pPr>
              <w:autoSpaceDE w:val="0"/>
              <w:spacing w:line="240" w:lineRule="auto"/>
              <w:ind w:firstLine="0" w:firstLineChars="0"/>
              <w:jc w:val="center"/>
              <w:rPr>
                <w:rFonts w:cs="Times New Roman"/>
                <w:b/>
                <w:bCs/>
                <w:color w:val="auto"/>
                <w:sz w:val="21"/>
                <w:szCs w:val="21"/>
              </w:rPr>
            </w:pPr>
            <w:r>
              <w:rPr>
                <w:rFonts w:ascii="宋体" w:hAnsi="宋体" w:cs="Times New Roman"/>
                <w:b/>
                <w:bCs/>
                <w:iCs/>
                <w:color w:val="auto"/>
                <w:sz w:val="21"/>
                <w:szCs w:val="21"/>
              </w:rPr>
              <w:t>截面积（</w:t>
            </w:r>
            <w:r>
              <w:rPr>
                <w:rFonts w:cs="Times New Roman"/>
                <w:b/>
                <w:bCs/>
                <w:iCs/>
                <w:color w:val="auto"/>
                <w:sz w:val="21"/>
                <w:szCs w:val="21"/>
              </w:rPr>
              <w:t>m</w:t>
            </w:r>
            <w:r>
              <w:rPr>
                <w:rFonts w:cs="Times New Roman"/>
                <w:b/>
                <w:bCs/>
                <w:iCs/>
                <w:color w:val="auto"/>
                <w:sz w:val="21"/>
                <w:szCs w:val="21"/>
                <w:vertAlign w:val="superscript"/>
              </w:rPr>
              <w:t>2</w:t>
            </w:r>
            <w:r>
              <w:rPr>
                <w:rFonts w:ascii="宋体" w:hAnsi="宋体" w:cs="Times New Roman"/>
                <w:b/>
                <w:bCs/>
                <w:iCs/>
                <w:color w:val="auto"/>
                <w:sz w:val="21"/>
                <w:szCs w:val="21"/>
              </w:rPr>
              <w:t>）</w:t>
            </w:r>
          </w:p>
        </w:tc>
        <w:tc>
          <w:tcPr>
            <w:tcW w:w="2231" w:type="dxa"/>
            <w:gridSpan w:val="4"/>
            <w:tcBorders>
              <w:top w:val="single" w:color="auto" w:sz="4" w:space="0"/>
              <w:left w:val="nil"/>
              <w:bottom w:val="single" w:color="auto" w:sz="4" w:space="0"/>
              <w:right w:val="single" w:color="auto" w:sz="4" w:space="0"/>
            </w:tcBorders>
            <w:vAlign w:val="center"/>
          </w:tcPr>
          <w:p>
            <w:pPr>
              <w:autoSpaceDE w:val="0"/>
              <w:spacing w:line="240" w:lineRule="auto"/>
              <w:ind w:firstLine="0" w:firstLineChars="0"/>
              <w:jc w:val="center"/>
              <w:rPr>
                <w:rFonts w:cs="Times New Roman"/>
                <w:b/>
                <w:bCs/>
                <w:color w:val="auto"/>
                <w:sz w:val="21"/>
                <w:szCs w:val="21"/>
              </w:rPr>
            </w:pPr>
            <w:r>
              <w:rPr>
                <w:rFonts w:ascii="宋体" w:hAnsi="宋体" w:cs="Times New Roman"/>
                <w:b/>
                <w:bCs/>
                <w:iCs/>
                <w:color w:val="auto"/>
                <w:sz w:val="21"/>
                <w:szCs w:val="21"/>
              </w:rPr>
              <w:t>处理设施</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420" w:hRule="atLeast"/>
          <w:jc w:val="center"/>
        </w:trPr>
        <w:tc>
          <w:tcPr>
            <w:tcW w:w="2545" w:type="dxa"/>
            <w:gridSpan w:val="2"/>
            <w:tcBorders>
              <w:top w:val="single" w:color="auto" w:sz="4" w:space="0"/>
              <w:left w:val="single" w:color="000000" w:sz="4" w:space="0"/>
              <w:bottom w:val="single" w:color="auto" w:sz="4" w:space="0"/>
              <w:right w:val="single" w:color="auto" w:sz="4" w:space="0"/>
            </w:tcBorders>
            <w:vAlign w:val="center"/>
          </w:tcPr>
          <w:p>
            <w:pPr>
              <w:autoSpaceDE w:val="0"/>
              <w:spacing w:line="240" w:lineRule="auto"/>
              <w:ind w:firstLine="0" w:firstLineChars="0"/>
              <w:jc w:val="center"/>
              <w:rPr>
                <w:rFonts w:cs="Times New Roman"/>
                <w:color w:val="auto"/>
                <w:sz w:val="21"/>
                <w:szCs w:val="21"/>
              </w:rPr>
            </w:pPr>
            <w:r>
              <w:rPr>
                <w:rFonts w:ascii="宋体" w:hAnsi="宋体" w:cs="Times New Roman"/>
                <w:color w:val="auto"/>
                <w:sz w:val="21"/>
                <w:szCs w:val="21"/>
              </w:rPr>
              <w:t>喷粉固化废气、喷漆废气（喷漆房</w:t>
            </w:r>
            <w:r>
              <w:rPr>
                <w:rFonts w:cs="Times New Roman"/>
                <w:color w:val="auto"/>
                <w:sz w:val="21"/>
                <w:szCs w:val="21"/>
              </w:rPr>
              <w:t>1</w:t>
            </w:r>
            <w:r>
              <w:rPr>
                <w:rFonts w:ascii="宋体" w:hAnsi="宋体" w:cs="Times New Roman"/>
                <w:color w:val="auto"/>
                <w:sz w:val="21"/>
                <w:szCs w:val="21"/>
              </w:rPr>
              <w:t>）、烘干废气（烤漆炉</w:t>
            </w:r>
            <w:r>
              <w:rPr>
                <w:rFonts w:cs="Times New Roman"/>
                <w:color w:val="auto"/>
                <w:sz w:val="21"/>
                <w:szCs w:val="21"/>
              </w:rPr>
              <w:t>1</w:t>
            </w:r>
            <w:r>
              <w:rPr>
                <w:rFonts w:ascii="宋体" w:hAnsi="宋体" w:cs="Times New Roman"/>
                <w:color w:val="auto"/>
                <w:sz w:val="21"/>
                <w:szCs w:val="21"/>
              </w:rPr>
              <w:t>）、调漆废气、液化石油气燃烧废气（烤漆炉</w:t>
            </w:r>
            <w:r>
              <w:rPr>
                <w:rFonts w:cs="Times New Roman"/>
                <w:color w:val="auto"/>
                <w:sz w:val="21"/>
                <w:szCs w:val="21"/>
              </w:rPr>
              <w:t>1</w:t>
            </w:r>
            <w:r>
              <w:rPr>
                <w:rFonts w:ascii="宋体" w:hAnsi="宋体" w:cs="Times New Roman"/>
                <w:color w:val="auto"/>
                <w:sz w:val="21"/>
                <w:szCs w:val="21"/>
              </w:rPr>
              <w:t>和固化炉）、危废间废气排放口（</w:t>
            </w:r>
            <w:r>
              <w:rPr>
                <w:rFonts w:cs="Times New Roman"/>
                <w:color w:val="auto"/>
                <w:sz w:val="21"/>
                <w:szCs w:val="21"/>
              </w:rPr>
              <w:t>DA001</w:t>
            </w:r>
            <w:r>
              <w:rPr>
                <w:rFonts w:ascii="宋体" w:hAnsi="宋体" w:cs="Times New Roman"/>
                <w:color w:val="auto"/>
                <w:sz w:val="21"/>
                <w:szCs w:val="21"/>
              </w:rPr>
              <w:t>）</w:t>
            </w:r>
          </w:p>
        </w:tc>
        <w:tc>
          <w:tcPr>
            <w:tcW w:w="1733" w:type="dxa"/>
            <w:gridSpan w:val="2"/>
            <w:tcBorders>
              <w:top w:val="single" w:color="auto" w:sz="4" w:space="0"/>
              <w:left w:val="nil"/>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15</w:t>
            </w:r>
          </w:p>
        </w:tc>
        <w:tc>
          <w:tcPr>
            <w:tcW w:w="2013" w:type="dxa"/>
            <w:gridSpan w:val="3"/>
            <w:tcBorders>
              <w:top w:val="single" w:color="auto" w:sz="4" w:space="0"/>
              <w:left w:val="nil"/>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0.283</w:t>
            </w:r>
          </w:p>
        </w:tc>
        <w:tc>
          <w:tcPr>
            <w:tcW w:w="2231" w:type="dxa"/>
            <w:gridSpan w:val="4"/>
            <w:tcBorders>
              <w:top w:val="single" w:color="auto" w:sz="4" w:space="0"/>
              <w:left w:val="nil"/>
              <w:bottom w:val="single" w:color="auto"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hint="eastAsia" w:ascii="宋体" w:hAnsi="宋体" w:cs="Times New Roman"/>
                <w:color w:val="auto"/>
                <w:sz w:val="21"/>
                <w:szCs w:val="21"/>
              </w:rPr>
              <w:t>水喷淋</w:t>
            </w:r>
            <w:r>
              <w:rPr>
                <w:rFonts w:hint="eastAsia" w:cs="Times New Roman"/>
                <w:color w:val="auto"/>
                <w:sz w:val="21"/>
                <w:szCs w:val="21"/>
              </w:rPr>
              <w:t>+</w:t>
            </w:r>
            <w:r>
              <w:rPr>
                <w:rFonts w:hint="eastAsia" w:ascii="宋体" w:hAnsi="宋体" w:cs="Times New Roman"/>
                <w:color w:val="auto"/>
                <w:sz w:val="21"/>
                <w:szCs w:val="21"/>
              </w:rPr>
              <w:t>活性炭吸附</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420" w:hRule="atLeast"/>
          <w:jc w:val="center"/>
        </w:trPr>
        <w:tc>
          <w:tcPr>
            <w:tcW w:w="2545" w:type="dxa"/>
            <w:gridSpan w:val="2"/>
            <w:tcBorders>
              <w:top w:val="single" w:color="auto" w:sz="4" w:space="0"/>
              <w:left w:val="single" w:color="000000" w:sz="4" w:space="0"/>
              <w:bottom w:val="single" w:color="auto" w:sz="4" w:space="0"/>
              <w:right w:val="single" w:color="auto" w:sz="4" w:space="0"/>
            </w:tcBorders>
            <w:vAlign w:val="center"/>
          </w:tcPr>
          <w:p>
            <w:pPr>
              <w:autoSpaceDE w:val="0"/>
              <w:spacing w:line="240" w:lineRule="auto"/>
              <w:ind w:firstLine="0" w:firstLineChars="0"/>
              <w:jc w:val="center"/>
              <w:rPr>
                <w:rFonts w:cs="Times New Roman"/>
                <w:color w:val="auto"/>
                <w:sz w:val="21"/>
                <w:szCs w:val="21"/>
              </w:rPr>
            </w:pPr>
            <w:r>
              <w:rPr>
                <w:rFonts w:ascii="宋体" w:hAnsi="宋体" w:cs="Times New Roman"/>
                <w:color w:val="auto"/>
                <w:sz w:val="21"/>
                <w:szCs w:val="21"/>
              </w:rPr>
              <w:t>胶合有机废气、清抹有机废气、喷漆废气（喷漆房</w:t>
            </w:r>
            <w:r>
              <w:rPr>
                <w:rFonts w:cs="Times New Roman"/>
                <w:color w:val="auto"/>
                <w:sz w:val="21"/>
                <w:szCs w:val="21"/>
              </w:rPr>
              <w:t>2</w:t>
            </w:r>
            <w:r>
              <w:rPr>
                <w:rFonts w:ascii="宋体" w:hAnsi="宋体" w:cs="Times New Roman"/>
                <w:color w:val="auto"/>
                <w:sz w:val="21"/>
                <w:szCs w:val="21"/>
              </w:rPr>
              <w:t>）、烘干废气（烤漆炉</w:t>
            </w:r>
            <w:r>
              <w:rPr>
                <w:rFonts w:cs="Times New Roman"/>
                <w:color w:val="auto"/>
                <w:sz w:val="21"/>
                <w:szCs w:val="21"/>
              </w:rPr>
              <w:t>2</w:t>
            </w:r>
            <w:r>
              <w:rPr>
                <w:rFonts w:ascii="宋体" w:hAnsi="宋体" w:cs="Times New Roman"/>
                <w:color w:val="auto"/>
                <w:sz w:val="21"/>
                <w:szCs w:val="21"/>
              </w:rPr>
              <w:t>）、液化石油气燃烧废气（烤漆炉</w:t>
            </w:r>
            <w:r>
              <w:rPr>
                <w:rFonts w:cs="Times New Roman"/>
                <w:color w:val="auto"/>
                <w:sz w:val="21"/>
                <w:szCs w:val="21"/>
              </w:rPr>
              <w:t>2</w:t>
            </w:r>
            <w:r>
              <w:rPr>
                <w:rFonts w:ascii="宋体" w:hAnsi="宋体" w:cs="Times New Roman"/>
                <w:color w:val="auto"/>
                <w:sz w:val="21"/>
                <w:szCs w:val="21"/>
              </w:rPr>
              <w:t>）排放口（</w:t>
            </w:r>
            <w:r>
              <w:rPr>
                <w:rFonts w:cs="Times New Roman"/>
                <w:color w:val="auto"/>
                <w:sz w:val="21"/>
                <w:szCs w:val="21"/>
              </w:rPr>
              <w:t>DA002</w:t>
            </w:r>
            <w:r>
              <w:rPr>
                <w:rFonts w:ascii="宋体" w:hAnsi="宋体" w:cs="Times New Roman"/>
                <w:color w:val="auto"/>
                <w:sz w:val="21"/>
                <w:szCs w:val="21"/>
              </w:rPr>
              <w:t>）</w:t>
            </w:r>
          </w:p>
        </w:tc>
        <w:tc>
          <w:tcPr>
            <w:tcW w:w="1733" w:type="dxa"/>
            <w:gridSpan w:val="2"/>
            <w:tcBorders>
              <w:top w:val="single" w:color="auto" w:sz="4" w:space="0"/>
              <w:left w:val="nil"/>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15</w:t>
            </w:r>
          </w:p>
        </w:tc>
        <w:tc>
          <w:tcPr>
            <w:tcW w:w="2013" w:type="dxa"/>
            <w:gridSpan w:val="3"/>
            <w:tcBorders>
              <w:top w:val="single" w:color="auto" w:sz="4" w:space="0"/>
              <w:left w:val="nil"/>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0.503</w:t>
            </w:r>
          </w:p>
        </w:tc>
        <w:tc>
          <w:tcPr>
            <w:tcW w:w="2231" w:type="dxa"/>
            <w:gridSpan w:val="4"/>
            <w:tcBorders>
              <w:top w:val="single" w:color="auto" w:sz="4" w:space="0"/>
              <w:left w:val="nil"/>
              <w:bottom w:val="single" w:color="auto"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hint="eastAsia" w:ascii="宋体" w:hAnsi="宋体" w:cs="Times New Roman"/>
                <w:color w:val="auto"/>
                <w:sz w:val="21"/>
                <w:szCs w:val="21"/>
              </w:rPr>
              <w:t>水喷淋</w:t>
            </w:r>
            <w:r>
              <w:rPr>
                <w:rFonts w:hint="eastAsia" w:cs="Times New Roman"/>
                <w:color w:val="auto"/>
                <w:sz w:val="21"/>
                <w:szCs w:val="21"/>
              </w:rPr>
              <w:t>+</w:t>
            </w:r>
            <w:r>
              <w:rPr>
                <w:rFonts w:hint="eastAsia" w:ascii="宋体" w:hAnsi="宋体" w:cs="Times New Roman"/>
                <w:color w:val="auto"/>
                <w:sz w:val="21"/>
                <w:szCs w:val="21"/>
              </w:rPr>
              <w:t>活性炭吸附</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99" w:hRule="atLeast"/>
          <w:jc w:val="center"/>
        </w:trPr>
        <w:tc>
          <w:tcPr>
            <w:tcW w:w="8522" w:type="dxa"/>
            <w:gridSpan w:val="11"/>
            <w:tcBorders>
              <w:top w:val="single" w:color="auto" w:sz="4" w:space="0"/>
              <w:left w:val="single" w:color="000000" w:sz="4" w:space="0"/>
              <w:bottom w:val="single" w:color="auto" w:sz="4" w:space="0"/>
              <w:right w:val="single" w:color="auto" w:sz="4" w:space="0"/>
            </w:tcBorders>
            <w:vAlign w:val="center"/>
          </w:tcPr>
          <w:p>
            <w:pPr>
              <w:adjustRightInd w:val="0"/>
              <w:spacing w:line="240" w:lineRule="auto"/>
              <w:ind w:firstLine="0" w:firstLineChars="0"/>
              <w:jc w:val="center"/>
              <w:rPr>
                <w:rFonts w:cs="Times New Roman"/>
                <w:b/>
                <w:bCs/>
                <w:color w:val="auto"/>
                <w:sz w:val="21"/>
                <w:szCs w:val="21"/>
              </w:rPr>
            </w:pPr>
            <w:r>
              <w:rPr>
                <w:rFonts w:ascii="宋体" w:hAnsi="宋体" w:cs="Times New Roman"/>
                <w:b/>
                <w:bCs/>
                <w:color w:val="auto"/>
                <w:sz w:val="21"/>
                <w:szCs w:val="21"/>
              </w:rPr>
              <w:t>项目检测结果</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412" w:hRule="atLeast"/>
          <w:jc w:val="center"/>
        </w:trPr>
        <w:tc>
          <w:tcPr>
            <w:tcW w:w="1205" w:type="dxa"/>
            <w:vMerge w:val="restart"/>
            <w:tcBorders>
              <w:top w:val="nil"/>
              <w:left w:val="single" w:color="000000" w:sz="4" w:space="0"/>
              <w:bottom w:val="single" w:color="000000" w:sz="4" w:space="0"/>
              <w:right w:val="single" w:color="auto" w:sz="4" w:space="0"/>
            </w:tcBorders>
            <w:vAlign w:val="center"/>
          </w:tcPr>
          <w:p>
            <w:pPr>
              <w:autoSpaceDE w:val="0"/>
              <w:spacing w:line="240" w:lineRule="auto"/>
              <w:ind w:firstLine="0" w:firstLineChars="0"/>
              <w:jc w:val="center"/>
              <w:rPr>
                <w:rFonts w:cs="Times New Roman"/>
                <w:b/>
                <w:bCs/>
                <w:color w:val="auto"/>
                <w:sz w:val="21"/>
                <w:szCs w:val="21"/>
              </w:rPr>
            </w:pPr>
            <w:r>
              <w:rPr>
                <w:rFonts w:ascii="宋体" w:hAnsi="宋体" w:cs="Times New Roman"/>
                <w:b/>
                <w:bCs/>
                <w:color w:val="auto"/>
                <w:sz w:val="21"/>
                <w:szCs w:val="21"/>
              </w:rPr>
              <w:t>检测时间</w:t>
            </w:r>
          </w:p>
        </w:tc>
        <w:tc>
          <w:tcPr>
            <w:tcW w:w="2325" w:type="dxa"/>
            <w:gridSpan w:val="2"/>
            <w:vMerge w:val="restart"/>
            <w:tcBorders>
              <w:top w:val="single" w:color="auto" w:sz="4" w:space="0"/>
              <w:left w:val="nil"/>
              <w:bottom w:val="single" w:color="000000" w:sz="4" w:space="0"/>
              <w:right w:val="single" w:color="auto" w:sz="4" w:space="0"/>
            </w:tcBorders>
            <w:vAlign w:val="center"/>
          </w:tcPr>
          <w:p>
            <w:pPr>
              <w:spacing w:line="240" w:lineRule="auto"/>
              <w:ind w:firstLine="0" w:firstLineChars="0"/>
              <w:jc w:val="center"/>
              <w:rPr>
                <w:rFonts w:cs="Times New Roman"/>
                <w:b/>
                <w:bCs/>
                <w:color w:val="auto"/>
                <w:sz w:val="21"/>
                <w:szCs w:val="21"/>
              </w:rPr>
            </w:pPr>
            <w:r>
              <w:rPr>
                <w:rFonts w:ascii="宋体" w:hAnsi="宋体" w:cs="Times New Roman"/>
                <w:b/>
                <w:bCs/>
                <w:color w:val="auto"/>
                <w:sz w:val="21"/>
                <w:szCs w:val="21"/>
              </w:rPr>
              <w:t>检测点位</w:t>
            </w:r>
          </w:p>
        </w:tc>
        <w:tc>
          <w:tcPr>
            <w:tcW w:w="1326" w:type="dxa"/>
            <w:gridSpan w:val="2"/>
            <w:vMerge w:val="restart"/>
            <w:tcBorders>
              <w:top w:val="single" w:color="auto" w:sz="4" w:space="0"/>
              <w:left w:val="nil"/>
              <w:bottom w:val="single" w:color="000000" w:sz="4" w:space="0"/>
              <w:right w:val="single" w:color="auto" w:sz="4" w:space="0"/>
            </w:tcBorders>
            <w:vAlign w:val="center"/>
          </w:tcPr>
          <w:p>
            <w:pPr>
              <w:spacing w:line="240" w:lineRule="auto"/>
              <w:ind w:firstLine="0" w:firstLineChars="0"/>
              <w:jc w:val="center"/>
              <w:rPr>
                <w:rFonts w:cs="Times New Roman"/>
                <w:b/>
                <w:bCs/>
                <w:color w:val="auto"/>
                <w:sz w:val="21"/>
                <w:szCs w:val="21"/>
              </w:rPr>
            </w:pPr>
            <w:r>
              <w:rPr>
                <w:rFonts w:ascii="宋体" w:hAnsi="宋体" w:cs="Times New Roman"/>
                <w:b/>
                <w:bCs/>
                <w:color w:val="auto"/>
                <w:sz w:val="21"/>
                <w:szCs w:val="21"/>
              </w:rPr>
              <w:t>检测项目</w:t>
            </w:r>
          </w:p>
        </w:tc>
        <w:tc>
          <w:tcPr>
            <w:tcW w:w="3022" w:type="dxa"/>
            <w:gridSpan w:val="5"/>
            <w:tcBorders>
              <w:top w:val="single" w:color="auto" w:sz="4" w:space="0"/>
              <w:left w:val="nil"/>
              <w:bottom w:val="single" w:color="000000" w:sz="4" w:space="0"/>
              <w:right w:val="single" w:color="auto" w:sz="4" w:space="0"/>
            </w:tcBorders>
            <w:vAlign w:val="center"/>
          </w:tcPr>
          <w:p>
            <w:pPr>
              <w:autoSpaceDE w:val="0"/>
              <w:spacing w:line="240" w:lineRule="auto"/>
              <w:ind w:firstLine="0" w:firstLineChars="0"/>
              <w:jc w:val="center"/>
              <w:rPr>
                <w:rFonts w:cs="Times New Roman"/>
                <w:b/>
                <w:color w:val="auto"/>
                <w:sz w:val="21"/>
                <w:szCs w:val="21"/>
              </w:rPr>
            </w:pPr>
            <w:r>
              <w:rPr>
                <w:rFonts w:ascii="宋体" w:hAnsi="宋体" w:cs="Times New Roman"/>
                <w:b/>
                <w:color w:val="auto"/>
                <w:sz w:val="21"/>
                <w:szCs w:val="21"/>
              </w:rPr>
              <w:t>检测结果</w:t>
            </w:r>
          </w:p>
        </w:tc>
        <w:tc>
          <w:tcPr>
            <w:tcW w:w="644" w:type="dxa"/>
            <w:vMerge w:val="restart"/>
            <w:tcBorders>
              <w:top w:val="single" w:color="auto" w:sz="4" w:space="0"/>
              <w:left w:val="nil"/>
              <w:bottom w:val="single" w:color="000000" w:sz="4" w:space="0"/>
              <w:right w:val="single" w:color="auto" w:sz="4" w:space="0"/>
            </w:tcBorders>
            <w:vAlign w:val="center"/>
          </w:tcPr>
          <w:p>
            <w:pPr>
              <w:spacing w:line="240" w:lineRule="auto"/>
              <w:ind w:firstLine="0" w:firstLineChars="0"/>
              <w:jc w:val="center"/>
              <w:rPr>
                <w:rFonts w:cs="Times New Roman"/>
                <w:b/>
                <w:bCs/>
                <w:color w:val="auto"/>
                <w:sz w:val="21"/>
                <w:szCs w:val="21"/>
              </w:rPr>
            </w:pPr>
            <w:r>
              <w:rPr>
                <w:rFonts w:ascii="宋体" w:hAnsi="宋体" w:cs="Times New Roman"/>
                <w:b/>
                <w:bCs/>
                <w:color w:val="auto"/>
                <w:sz w:val="21"/>
                <w:szCs w:val="21"/>
              </w:rPr>
              <w:t>浓度</w:t>
            </w:r>
          </w:p>
          <w:p>
            <w:pPr>
              <w:spacing w:line="240" w:lineRule="auto"/>
              <w:ind w:firstLine="0" w:firstLineChars="0"/>
              <w:jc w:val="center"/>
              <w:rPr>
                <w:rFonts w:cs="Times New Roman"/>
                <w:b/>
                <w:bCs/>
                <w:color w:val="auto"/>
                <w:sz w:val="21"/>
                <w:szCs w:val="21"/>
              </w:rPr>
            </w:pPr>
            <w:r>
              <w:rPr>
                <w:rFonts w:ascii="宋体" w:hAnsi="宋体" w:cs="Times New Roman"/>
                <w:b/>
                <w:bCs/>
                <w:color w:val="auto"/>
                <w:sz w:val="21"/>
                <w:szCs w:val="21"/>
              </w:rPr>
              <w:t>限值</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427" w:hRule="atLeast"/>
          <w:jc w:val="center"/>
        </w:trPr>
        <w:tc>
          <w:tcPr>
            <w:tcW w:w="1205"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b/>
                <w:bCs/>
                <w:color w:val="auto"/>
                <w:sz w:val="21"/>
                <w:szCs w:val="21"/>
              </w:rPr>
            </w:pPr>
          </w:p>
        </w:tc>
        <w:tc>
          <w:tcPr>
            <w:tcW w:w="2325" w:type="dxa"/>
            <w:gridSpan w:val="2"/>
            <w:vMerge w:val="continue"/>
            <w:tcBorders>
              <w:top w:val="single" w:color="auto" w:sz="4" w:space="0"/>
              <w:left w:val="nil"/>
              <w:bottom w:val="single" w:color="000000" w:sz="4" w:space="0"/>
              <w:right w:val="single" w:color="auto" w:sz="4" w:space="0"/>
            </w:tcBorders>
            <w:vAlign w:val="center"/>
          </w:tcPr>
          <w:p>
            <w:pPr>
              <w:widowControl/>
              <w:spacing w:line="240" w:lineRule="auto"/>
              <w:ind w:firstLine="0" w:firstLineChars="0"/>
              <w:jc w:val="left"/>
              <w:rPr>
                <w:rFonts w:cs="Times New Roman"/>
                <w:b/>
                <w:bCs/>
                <w:color w:val="auto"/>
                <w:sz w:val="21"/>
                <w:szCs w:val="21"/>
              </w:rPr>
            </w:pPr>
          </w:p>
        </w:tc>
        <w:tc>
          <w:tcPr>
            <w:tcW w:w="1326" w:type="dxa"/>
            <w:gridSpan w:val="2"/>
            <w:vMerge w:val="continue"/>
            <w:tcBorders>
              <w:top w:val="single" w:color="auto" w:sz="4" w:space="0"/>
              <w:left w:val="nil"/>
              <w:bottom w:val="single" w:color="000000" w:sz="4" w:space="0"/>
              <w:right w:val="single" w:color="auto" w:sz="4" w:space="0"/>
            </w:tcBorders>
            <w:vAlign w:val="center"/>
          </w:tcPr>
          <w:p>
            <w:pPr>
              <w:widowControl/>
              <w:spacing w:line="240" w:lineRule="auto"/>
              <w:ind w:firstLine="0" w:firstLineChars="0"/>
              <w:jc w:val="left"/>
              <w:rPr>
                <w:rFonts w:cs="Times New Roman"/>
                <w:b/>
                <w:bCs/>
                <w:color w:val="auto"/>
                <w:sz w:val="21"/>
                <w:szCs w:val="21"/>
              </w:rPr>
            </w:pPr>
          </w:p>
        </w:tc>
        <w:tc>
          <w:tcPr>
            <w:tcW w:w="752" w:type="dxa"/>
            <w:tcBorders>
              <w:top w:val="single" w:color="auto" w:sz="4" w:space="0"/>
              <w:left w:val="nil"/>
              <w:bottom w:val="single" w:color="000000" w:sz="4" w:space="0"/>
              <w:right w:val="single" w:color="auto" w:sz="4" w:space="0"/>
            </w:tcBorders>
            <w:vAlign w:val="center"/>
          </w:tcPr>
          <w:p>
            <w:pPr>
              <w:autoSpaceDE w:val="0"/>
              <w:spacing w:line="240" w:lineRule="auto"/>
              <w:ind w:firstLine="0" w:firstLineChars="0"/>
              <w:jc w:val="center"/>
              <w:rPr>
                <w:rFonts w:cs="Times New Roman"/>
                <w:b/>
                <w:color w:val="auto"/>
                <w:sz w:val="21"/>
                <w:szCs w:val="21"/>
              </w:rPr>
            </w:pPr>
            <w:r>
              <w:rPr>
                <w:rFonts w:ascii="宋体" w:hAnsi="宋体" w:cs="Times New Roman"/>
                <w:b/>
                <w:color w:val="auto"/>
                <w:sz w:val="21"/>
                <w:szCs w:val="21"/>
              </w:rPr>
              <w:t>第</w:t>
            </w:r>
            <w:r>
              <w:rPr>
                <w:rFonts w:cs="Times New Roman"/>
                <w:b/>
                <w:color w:val="auto"/>
                <w:sz w:val="21"/>
                <w:szCs w:val="21"/>
              </w:rPr>
              <w:t>1</w:t>
            </w:r>
            <w:r>
              <w:rPr>
                <w:rFonts w:ascii="宋体" w:hAnsi="宋体" w:cs="Times New Roman"/>
                <w:b/>
                <w:color w:val="auto"/>
                <w:sz w:val="21"/>
                <w:szCs w:val="21"/>
              </w:rPr>
              <w:t>次</w:t>
            </w:r>
          </w:p>
        </w:tc>
        <w:tc>
          <w:tcPr>
            <w:tcW w:w="753" w:type="dxa"/>
            <w:gridSpan w:val="2"/>
            <w:tcBorders>
              <w:top w:val="single" w:color="auto" w:sz="4" w:space="0"/>
              <w:left w:val="nil"/>
              <w:bottom w:val="single" w:color="000000" w:sz="4" w:space="0"/>
              <w:right w:val="single" w:color="auto" w:sz="4" w:space="0"/>
            </w:tcBorders>
            <w:vAlign w:val="center"/>
          </w:tcPr>
          <w:p>
            <w:pPr>
              <w:autoSpaceDE w:val="0"/>
              <w:spacing w:line="240" w:lineRule="auto"/>
              <w:ind w:firstLine="0" w:firstLineChars="0"/>
              <w:jc w:val="center"/>
              <w:rPr>
                <w:rFonts w:cs="Times New Roman"/>
                <w:b/>
                <w:color w:val="auto"/>
                <w:sz w:val="21"/>
                <w:szCs w:val="21"/>
              </w:rPr>
            </w:pPr>
            <w:r>
              <w:rPr>
                <w:rFonts w:ascii="宋体" w:hAnsi="宋体" w:cs="Times New Roman"/>
                <w:b/>
                <w:color w:val="auto"/>
                <w:sz w:val="21"/>
                <w:szCs w:val="21"/>
              </w:rPr>
              <w:t>第</w:t>
            </w:r>
            <w:r>
              <w:rPr>
                <w:rFonts w:cs="Times New Roman"/>
                <w:b/>
                <w:color w:val="auto"/>
                <w:sz w:val="21"/>
                <w:szCs w:val="21"/>
              </w:rPr>
              <w:t>2</w:t>
            </w:r>
            <w:r>
              <w:rPr>
                <w:rFonts w:ascii="宋体" w:hAnsi="宋体" w:cs="Times New Roman"/>
                <w:b/>
                <w:color w:val="auto"/>
                <w:sz w:val="21"/>
                <w:szCs w:val="21"/>
              </w:rPr>
              <w:t>次</w:t>
            </w:r>
          </w:p>
        </w:tc>
        <w:tc>
          <w:tcPr>
            <w:tcW w:w="752" w:type="dxa"/>
            <w:tcBorders>
              <w:top w:val="single" w:color="auto" w:sz="4" w:space="0"/>
              <w:left w:val="nil"/>
              <w:bottom w:val="single" w:color="000000" w:sz="4" w:space="0"/>
              <w:right w:val="single" w:color="auto" w:sz="4" w:space="0"/>
            </w:tcBorders>
            <w:vAlign w:val="center"/>
          </w:tcPr>
          <w:p>
            <w:pPr>
              <w:autoSpaceDE w:val="0"/>
              <w:spacing w:line="240" w:lineRule="auto"/>
              <w:ind w:firstLine="0" w:firstLineChars="0"/>
              <w:jc w:val="center"/>
              <w:rPr>
                <w:rFonts w:cs="Times New Roman"/>
                <w:b/>
                <w:color w:val="auto"/>
                <w:sz w:val="21"/>
                <w:szCs w:val="21"/>
              </w:rPr>
            </w:pPr>
            <w:r>
              <w:rPr>
                <w:rFonts w:ascii="宋体" w:hAnsi="宋体" w:cs="Times New Roman"/>
                <w:b/>
                <w:color w:val="auto"/>
                <w:sz w:val="21"/>
                <w:szCs w:val="21"/>
              </w:rPr>
              <w:t>第</w:t>
            </w:r>
            <w:r>
              <w:rPr>
                <w:rFonts w:cs="Times New Roman"/>
                <w:b/>
                <w:color w:val="auto"/>
                <w:sz w:val="21"/>
                <w:szCs w:val="21"/>
              </w:rPr>
              <w:t>3</w:t>
            </w:r>
            <w:r>
              <w:rPr>
                <w:rFonts w:ascii="宋体" w:hAnsi="宋体" w:cs="Times New Roman"/>
                <w:b/>
                <w:color w:val="auto"/>
                <w:sz w:val="21"/>
                <w:szCs w:val="21"/>
              </w:rPr>
              <w:t>次</w:t>
            </w:r>
          </w:p>
        </w:tc>
        <w:tc>
          <w:tcPr>
            <w:tcW w:w="765" w:type="dxa"/>
            <w:tcBorders>
              <w:top w:val="single" w:color="auto" w:sz="4" w:space="0"/>
              <w:left w:val="nil"/>
              <w:bottom w:val="single" w:color="000000" w:sz="4" w:space="0"/>
              <w:right w:val="single" w:color="auto" w:sz="4" w:space="0"/>
            </w:tcBorders>
            <w:vAlign w:val="center"/>
          </w:tcPr>
          <w:p>
            <w:pPr>
              <w:autoSpaceDE w:val="0"/>
              <w:spacing w:line="240" w:lineRule="auto"/>
              <w:ind w:firstLine="0" w:firstLineChars="0"/>
              <w:jc w:val="center"/>
              <w:rPr>
                <w:rFonts w:cs="Times New Roman"/>
                <w:b/>
                <w:color w:val="auto"/>
                <w:sz w:val="21"/>
                <w:szCs w:val="21"/>
              </w:rPr>
            </w:pPr>
            <w:r>
              <w:rPr>
                <w:rFonts w:ascii="宋体" w:hAnsi="宋体" w:cs="Times New Roman"/>
                <w:b/>
                <w:color w:val="auto"/>
                <w:sz w:val="21"/>
                <w:szCs w:val="21"/>
              </w:rPr>
              <w:t>第</w:t>
            </w:r>
            <w:r>
              <w:rPr>
                <w:rFonts w:cs="Times New Roman"/>
                <w:b/>
                <w:color w:val="auto"/>
                <w:sz w:val="21"/>
                <w:szCs w:val="21"/>
              </w:rPr>
              <w:t>4</w:t>
            </w:r>
            <w:r>
              <w:rPr>
                <w:rFonts w:ascii="宋体" w:hAnsi="宋体" w:cs="Times New Roman"/>
                <w:b/>
                <w:color w:val="auto"/>
                <w:sz w:val="21"/>
                <w:szCs w:val="21"/>
              </w:rPr>
              <w:t>次</w:t>
            </w:r>
          </w:p>
        </w:tc>
        <w:tc>
          <w:tcPr>
            <w:tcW w:w="644" w:type="dxa"/>
            <w:vMerge w:val="continue"/>
            <w:tcBorders>
              <w:top w:val="single" w:color="auto" w:sz="4" w:space="0"/>
              <w:left w:val="nil"/>
              <w:bottom w:val="single" w:color="000000" w:sz="4" w:space="0"/>
              <w:right w:val="single" w:color="auto" w:sz="4" w:space="0"/>
            </w:tcBorders>
            <w:vAlign w:val="center"/>
          </w:tcPr>
          <w:p>
            <w:pPr>
              <w:widowControl/>
              <w:spacing w:line="240" w:lineRule="auto"/>
              <w:ind w:firstLine="0" w:firstLineChars="0"/>
              <w:jc w:val="left"/>
              <w:rPr>
                <w:rFonts w:cs="Times New Roman"/>
                <w:b/>
                <w:bCs/>
                <w:color w:val="auto"/>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981" w:hRule="atLeast"/>
          <w:jc w:val="center"/>
        </w:trPr>
        <w:tc>
          <w:tcPr>
            <w:tcW w:w="1205" w:type="dxa"/>
            <w:vMerge w:val="restart"/>
            <w:tcBorders>
              <w:top w:val="nil"/>
              <w:left w:val="single" w:color="000000" w:sz="4" w:space="0"/>
              <w:bottom w:val="single" w:color="000000"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cs="Times New Roman"/>
                <w:color w:val="auto"/>
                <w:sz w:val="21"/>
                <w:szCs w:val="21"/>
              </w:rPr>
              <w:t>2025.12.10</w:t>
            </w:r>
          </w:p>
        </w:tc>
        <w:tc>
          <w:tcPr>
            <w:tcW w:w="2325" w:type="dxa"/>
            <w:gridSpan w:val="2"/>
            <w:vMerge w:val="restart"/>
            <w:tcBorders>
              <w:top w:val="nil"/>
              <w:left w:val="nil"/>
              <w:bottom w:val="single" w:color="000000"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ascii="宋体" w:hAnsi="宋体" w:cs="Times New Roman"/>
                <w:color w:val="auto"/>
                <w:sz w:val="21"/>
                <w:szCs w:val="21"/>
              </w:rPr>
              <w:t>喷粉固化废气、喷漆废气（喷漆房</w:t>
            </w:r>
            <w:r>
              <w:rPr>
                <w:rFonts w:cs="Times New Roman"/>
                <w:color w:val="auto"/>
                <w:sz w:val="21"/>
                <w:szCs w:val="21"/>
              </w:rPr>
              <w:t>1</w:t>
            </w:r>
            <w:r>
              <w:rPr>
                <w:rFonts w:ascii="宋体" w:hAnsi="宋体" w:cs="Times New Roman"/>
                <w:color w:val="auto"/>
                <w:sz w:val="21"/>
                <w:szCs w:val="21"/>
              </w:rPr>
              <w:t>）、烘干废气（烤漆炉</w:t>
            </w:r>
            <w:r>
              <w:rPr>
                <w:rFonts w:cs="Times New Roman"/>
                <w:color w:val="auto"/>
                <w:sz w:val="21"/>
                <w:szCs w:val="21"/>
              </w:rPr>
              <w:t>1</w:t>
            </w:r>
            <w:r>
              <w:rPr>
                <w:rFonts w:ascii="宋体" w:hAnsi="宋体" w:cs="Times New Roman"/>
                <w:color w:val="auto"/>
                <w:sz w:val="21"/>
                <w:szCs w:val="21"/>
              </w:rPr>
              <w:t>）、调漆废气、液化石油气燃烧废气（烤漆炉</w:t>
            </w:r>
            <w:r>
              <w:rPr>
                <w:rFonts w:cs="Times New Roman"/>
                <w:color w:val="auto"/>
                <w:sz w:val="21"/>
                <w:szCs w:val="21"/>
              </w:rPr>
              <w:t>1</w:t>
            </w:r>
            <w:r>
              <w:rPr>
                <w:rFonts w:ascii="宋体" w:hAnsi="宋体" w:cs="Times New Roman"/>
                <w:color w:val="auto"/>
                <w:sz w:val="21"/>
                <w:szCs w:val="21"/>
              </w:rPr>
              <w:t>和固化炉）、危废间废气排放口（</w:t>
            </w:r>
            <w:r>
              <w:rPr>
                <w:rFonts w:cs="Times New Roman"/>
                <w:color w:val="auto"/>
                <w:sz w:val="21"/>
                <w:szCs w:val="21"/>
              </w:rPr>
              <w:t>DA001</w:t>
            </w:r>
            <w:r>
              <w:rPr>
                <w:rFonts w:ascii="宋体" w:hAnsi="宋体" w:cs="Times New Roman"/>
                <w:color w:val="auto"/>
                <w:sz w:val="21"/>
                <w:szCs w:val="21"/>
              </w:rPr>
              <w:t>）</w:t>
            </w:r>
          </w:p>
        </w:tc>
        <w:tc>
          <w:tcPr>
            <w:tcW w:w="1326" w:type="dxa"/>
            <w:gridSpan w:val="2"/>
            <w:tcBorders>
              <w:top w:val="single" w:color="000000" w:sz="4" w:space="0"/>
              <w:left w:val="nil"/>
              <w:bottom w:val="single" w:color="000000"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ascii="宋体" w:hAnsi="宋体" w:cs="Times New Roman"/>
                <w:color w:val="auto"/>
                <w:spacing w:val="9"/>
                <w:sz w:val="21"/>
                <w:szCs w:val="21"/>
              </w:rPr>
              <w:t>臭气浓度（无量纲）</w:t>
            </w:r>
          </w:p>
        </w:tc>
        <w:tc>
          <w:tcPr>
            <w:tcW w:w="752" w:type="dxa"/>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977</w:t>
            </w:r>
          </w:p>
        </w:tc>
        <w:tc>
          <w:tcPr>
            <w:tcW w:w="753" w:type="dxa"/>
            <w:gridSpan w:val="2"/>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1128</w:t>
            </w:r>
          </w:p>
        </w:tc>
        <w:tc>
          <w:tcPr>
            <w:tcW w:w="752" w:type="dxa"/>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1303</w:t>
            </w:r>
          </w:p>
        </w:tc>
        <w:tc>
          <w:tcPr>
            <w:tcW w:w="765" w:type="dxa"/>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1505</w:t>
            </w:r>
          </w:p>
        </w:tc>
        <w:tc>
          <w:tcPr>
            <w:tcW w:w="644" w:type="dxa"/>
            <w:tcBorders>
              <w:top w:val="single" w:color="000000" w:sz="4" w:space="0"/>
              <w:left w:val="nil"/>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2000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48" w:hRule="atLeast"/>
          <w:jc w:val="center"/>
        </w:trPr>
        <w:tc>
          <w:tcPr>
            <w:tcW w:w="1205"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2325" w:type="dxa"/>
            <w:gridSpan w:val="2"/>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326" w:type="dxa"/>
            <w:gridSpan w:val="2"/>
            <w:tcBorders>
              <w:top w:val="single" w:color="000000" w:sz="4" w:space="0"/>
              <w:left w:val="nil"/>
              <w:bottom w:val="single" w:color="000000" w:sz="4" w:space="0"/>
              <w:right w:val="single" w:color="auto" w:sz="4" w:space="0"/>
            </w:tcBorders>
            <w:vAlign w:val="center"/>
          </w:tcPr>
          <w:p>
            <w:pPr>
              <w:autoSpaceDE w:val="0"/>
              <w:adjustRightInd w:val="0"/>
              <w:spacing w:line="240" w:lineRule="auto"/>
              <w:ind w:firstLine="0" w:firstLineChars="0"/>
              <w:jc w:val="center"/>
              <w:rPr>
                <w:rFonts w:cs="Times New Roman"/>
                <w:iCs/>
                <w:color w:val="auto"/>
                <w:kern w:val="0"/>
                <w:sz w:val="21"/>
                <w:szCs w:val="21"/>
              </w:rPr>
            </w:pPr>
            <w:r>
              <w:rPr>
                <w:rFonts w:ascii="宋体" w:hAnsi="宋体" w:cs="Times New Roman"/>
                <w:iCs/>
                <w:color w:val="auto"/>
                <w:kern w:val="0"/>
                <w:sz w:val="21"/>
                <w:szCs w:val="21"/>
              </w:rPr>
              <w:t>标干流量（</w:t>
            </w:r>
            <w:r>
              <w:rPr>
                <w:rFonts w:cs="Times New Roman"/>
                <w:iCs/>
                <w:color w:val="auto"/>
                <w:kern w:val="0"/>
                <w:sz w:val="21"/>
                <w:szCs w:val="21"/>
              </w:rPr>
              <w:t>m</w:t>
            </w:r>
            <w:r>
              <w:rPr>
                <w:rFonts w:cs="Times New Roman"/>
                <w:iCs/>
                <w:color w:val="auto"/>
                <w:kern w:val="0"/>
                <w:sz w:val="21"/>
                <w:szCs w:val="21"/>
                <w:vertAlign w:val="superscript"/>
              </w:rPr>
              <w:t>3</w:t>
            </w:r>
            <w:r>
              <w:rPr>
                <w:rFonts w:cs="Times New Roman"/>
                <w:iCs/>
                <w:color w:val="auto"/>
                <w:kern w:val="0"/>
                <w:sz w:val="21"/>
                <w:szCs w:val="21"/>
              </w:rPr>
              <w:t>/h</w:t>
            </w:r>
            <w:r>
              <w:rPr>
                <w:rFonts w:ascii="宋体" w:hAnsi="宋体" w:cs="Times New Roman"/>
                <w:iCs/>
                <w:color w:val="auto"/>
                <w:kern w:val="0"/>
                <w:sz w:val="21"/>
                <w:szCs w:val="21"/>
              </w:rPr>
              <w:t>）</w:t>
            </w:r>
          </w:p>
        </w:tc>
        <w:tc>
          <w:tcPr>
            <w:tcW w:w="752" w:type="dxa"/>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hint="eastAsia" w:cs="Times New Roman"/>
                <w:color w:val="auto"/>
                <w:sz w:val="21"/>
                <w:szCs w:val="21"/>
              </w:rPr>
              <w:t>31</w:t>
            </w:r>
            <w:r>
              <w:rPr>
                <w:rFonts w:cs="Times New Roman"/>
                <w:color w:val="auto"/>
                <w:sz w:val="21"/>
                <w:szCs w:val="21"/>
              </w:rPr>
              <w:t>126</w:t>
            </w:r>
          </w:p>
        </w:tc>
        <w:tc>
          <w:tcPr>
            <w:tcW w:w="753" w:type="dxa"/>
            <w:gridSpan w:val="2"/>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hint="eastAsia" w:cs="Times New Roman"/>
                <w:color w:val="auto"/>
                <w:sz w:val="21"/>
                <w:szCs w:val="21"/>
              </w:rPr>
              <w:t>313</w:t>
            </w:r>
            <w:r>
              <w:rPr>
                <w:rFonts w:cs="Times New Roman"/>
                <w:color w:val="auto"/>
                <w:sz w:val="21"/>
                <w:szCs w:val="21"/>
              </w:rPr>
              <w:t>89</w:t>
            </w:r>
          </w:p>
        </w:tc>
        <w:tc>
          <w:tcPr>
            <w:tcW w:w="752" w:type="dxa"/>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hint="eastAsia" w:cs="Times New Roman"/>
                <w:color w:val="auto"/>
                <w:sz w:val="21"/>
                <w:szCs w:val="21"/>
              </w:rPr>
              <w:t>314</w:t>
            </w:r>
            <w:r>
              <w:rPr>
                <w:rFonts w:cs="Times New Roman"/>
                <w:color w:val="auto"/>
                <w:sz w:val="21"/>
                <w:szCs w:val="21"/>
              </w:rPr>
              <w:t>07</w:t>
            </w:r>
          </w:p>
        </w:tc>
        <w:tc>
          <w:tcPr>
            <w:tcW w:w="765" w:type="dxa"/>
            <w:tcBorders>
              <w:top w:val="single" w:color="000000" w:sz="4" w:space="0"/>
              <w:left w:val="nil"/>
              <w:bottom w:val="single" w:color="auto"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hint="eastAsia" w:cs="Times New Roman"/>
                <w:color w:val="auto"/>
                <w:sz w:val="21"/>
                <w:szCs w:val="21"/>
              </w:rPr>
              <w:t>312</w:t>
            </w:r>
            <w:r>
              <w:rPr>
                <w:rFonts w:cs="Times New Roman"/>
                <w:color w:val="auto"/>
                <w:sz w:val="21"/>
                <w:szCs w:val="21"/>
              </w:rPr>
              <w:t>71</w:t>
            </w:r>
          </w:p>
        </w:tc>
        <w:tc>
          <w:tcPr>
            <w:tcW w:w="644" w:type="dxa"/>
            <w:tcBorders>
              <w:top w:val="single" w:color="000000" w:sz="4" w:space="0"/>
              <w:left w:val="nil"/>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900" w:hRule="atLeast"/>
          <w:jc w:val="center"/>
        </w:trPr>
        <w:tc>
          <w:tcPr>
            <w:tcW w:w="1205"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2325" w:type="dxa"/>
            <w:gridSpan w:val="2"/>
            <w:vMerge w:val="restart"/>
            <w:tcBorders>
              <w:top w:val="nil"/>
              <w:left w:val="nil"/>
              <w:bottom w:val="single" w:color="000000" w:sz="4" w:space="0"/>
              <w:right w:val="single" w:color="auto" w:sz="4" w:space="0"/>
            </w:tcBorders>
            <w:vAlign w:val="center"/>
          </w:tcPr>
          <w:p>
            <w:pPr>
              <w:autoSpaceDE w:val="0"/>
              <w:spacing w:line="240" w:lineRule="auto"/>
              <w:ind w:firstLine="0" w:firstLineChars="0"/>
              <w:jc w:val="center"/>
              <w:rPr>
                <w:rFonts w:cs="Times New Roman"/>
                <w:iCs/>
                <w:color w:val="auto"/>
                <w:kern w:val="0"/>
                <w:sz w:val="21"/>
                <w:szCs w:val="21"/>
              </w:rPr>
            </w:pPr>
            <w:r>
              <w:rPr>
                <w:rFonts w:ascii="宋体" w:hAnsi="宋体" w:cs="Times New Roman"/>
                <w:color w:val="auto"/>
                <w:sz w:val="21"/>
                <w:szCs w:val="21"/>
              </w:rPr>
              <w:t>胶合有机废气、清抹有机废气、喷漆废气（喷漆房</w:t>
            </w:r>
            <w:r>
              <w:rPr>
                <w:rFonts w:cs="Times New Roman"/>
                <w:color w:val="auto"/>
                <w:sz w:val="21"/>
                <w:szCs w:val="21"/>
              </w:rPr>
              <w:t>2</w:t>
            </w:r>
            <w:r>
              <w:rPr>
                <w:rFonts w:ascii="宋体" w:hAnsi="宋体" w:cs="Times New Roman"/>
                <w:color w:val="auto"/>
                <w:sz w:val="21"/>
                <w:szCs w:val="21"/>
              </w:rPr>
              <w:t>）、烘干废气（烤漆炉</w:t>
            </w:r>
            <w:r>
              <w:rPr>
                <w:rFonts w:cs="Times New Roman"/>
                <w:color w:val="auto"/>
                <w:sz w:val="21"/>
                <w:szCs w:val="21"/>
              </w:rPr>
              <w:t>2</w:t>
            </w:r>
            <w:r>
              <w:rPr>
                <w:rFonts w:ascii="宋体" w:hAnsi="宋体" w:cs="Times New Roman"/>
                <w:color w:val="auto"/>
                <w:sz w:val="21"/>
                <w:szCs w:val="21"/>
              </w:rPr>
              <w:t>）、液化石油气燃烧废气（烤漆炉</w:t>
            </w:r>
            <w:r>
              <w:rPr>
                <w:rFonts w:cs="Times New Roman"/>
                <w:color w:val="auto"/>
                <w:sz w:val="21"/>
                <w:szCs w:val="21"/>
              </w:rPr>
              <w:t>2</w:t>
            </w:r>
            <w:r>
              <w:rPr>
                <w:rFonts w:ascii="宋体" w:hAnsi="宋体" w:cs="Times New Roman"/>
                <w:color w:val="auto"/>
                <w:sz w:val="21"/>
                <w:szCs w:val="21"/>
              </w:rPr>
              <w:t>）排放口（</w:t>
            </w:r>
            <w:r>
              <w:rPr>
                <w:rFonts w:cs="Times New Roman"/>
                <w:color w:val="auto"/>
                <w:sz w:val="21"/>
                <w:szCs w:val="21"/>
              </w:rPr>
              <w:t>DA002</w:t>
            </w:r>
            <w:r>
              <w:rPr>
                <w:rFonts w:ascii="宋体" w:hAnsi="宋体" w:cs="Times New Roman"/>
                <w:color w:val="auto"/>
                <w:sz w:val="21"/>
                <w:szCs w:val="21"/>
              </w:rPr>
              <w:t>）</w:t>
            </w:r>
          </w:p>
        </w:tc>
        <w:tc>
          <w:tcPr>
            <w:tcW w:w="1326" w:type="dxa"/>
            <w:gridSpan w:val="2"/>
            <w:tcBorders>
              <w:top w:val="single" w:color="000000" w:sz="4" w:space="0"/>
              <w:left w:val="nil"/>
              <w:bottom w:val="single" w:color="000000"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ascii="宋体" w:hAnsi="宋体" w:cs="Times New Roman"/>
                <w:color w:val="auto"/>
                <w:spacing w:val="9"/>
                <w:sz w:val="21"/>
                <w:szCs w:val="21"/>
              </w:rPr>
              <w:t>臭气浓度（无量纲）</w:t>
            </w:r>
          </w:p>
        </w:tc>
        <w:tc>
          <w:tcPr>
            <w:tcW w:w="752" w:type="dxa"/>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1128</w:t>
            </w:r>
          </w:p>
        </w:tc>
        <w:tc>
          <w:tcPr>
            <w:tcW w:w="753" w:type="dxa"/>
            <w:gridSpan w:val="2"/>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1303</w:t>
            </w:r>
          </w:p>
        </w:tc>
        <w:tc>
          <w:tcPr>
            <w:tcW w:w="752" w:type="dxa"/>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1505</w:t>
            </w:r>
          </w:p>
        </w:tc>
        <w:tc>
          <w:tcPr>
            <w:tcW w:w="765" w:type="dxa"/>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1738</w:t>
            </w:r>
          </w:p>
        </w:tc>
        <w:tc>
          <w:tcPr>
            <w:tcW w:w="644" w:type="dxa"/>
            <w:tcBorders>
              <w:top w:val="single" w:color="000000" w:sz="4" w:space="0"/>
              <w:left w:val="nil"/>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2000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48" w:hRule="atLeast"/>
          <w:jc w:val="center"/>
        </w:trPr>
        <w:tc>
          <w:tcPr>
            <w:tcW w:w="1205"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2325" w:type="dxa"/>
            <w:gridSpan w:val="2"/>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iCs/>
                <w:color w:val="auto"/>
                <w:kern w:val="0"/>
                <w:sz w:val="21"/>
                <w:szCs w:val="21"/>
              </w:rPr>
            </w:pPr>
          </w:p>
        </w:tc>
        <w:tc>
          <w:tcPr>
            <w:tcW w:w="1326" w:type="dxa"/>
            <w:gridSpan w:val="2"/>
            <w:tcBorders>
              <w:top w:val="single" w:color="000000" w:sz="4" w:space="0"/>
              <w:left w:val="nil"/>
              <w:bottom w:val="single" w:color="000000" w:sz="4" w:space="0"/>
              <w:right w:val="single" w:color="auto" w:sz="4" w:space="0"/>
            </w:tcBorders>
            <w:vAlign w:val="center"/>
          </w:tcPr>
          <w:p>
            <w:pPr>
              <w:autoSpaceDE w:val="0"/>
              <w:adjustRightInd w:val="0"/>
              <w:spacing w:line="240" w:lineRule="auto"/>
              <w:ind w:firstLine="0" w:firstLineChars="0"/>
              <w:jc w:val="center"/>
              <w:rPr>
                <w:rFonts w:cs="Times New Roman"/>
                <w:iCs/>
                <w:color w:val="auto"/>
                <w:kern w:val="0"/>
                <w:sz w:val="21"/>
                <w:szCs w:val="21"/>
              </w:rPr>
            </w:pPr>
            <w:r>
              <w:rPr>
                <w:rFonts w:ascii="宋体" w:hAnsi="宋体" w:cs="Times New Roman"/>
                <w:iCs/>
                <w:color w:val="auto"/>
                <w:kern w:val="0"/>
                <w:sz w:val="21"/>
                <w:szCs w:val="21"/>
              </w:rPr>
              <w:t>标干流量（</w:t>
            </w:r>
            <w:r>
              <w:rPr>
                <w:rFonts w:cs="Times New Roman"/>
                <w:iCs/>
                <w:color w:val="auto"/>
                <w:kern w:val="0"/>
                <w:sz w:val="21"/>
                <w:szCs w:val="21"/>
              </w:rPr>
              <w:t>m</w:t>
            </w:r>
            <w:r>
              <w:rPr>
                <w:rFonts w:cs="Times New Roman"/>
                <w:iCs/>
                <w:color w:val="auto"/>
                <w:kern w:val="0"/>
                <w:sz w:val="21"/>
                <w:szCs w:val="21"/>
                <w:vertAlign w:val="superscript"/>
              </w:rPr>
              <w:t>3</w:t>
            </w:r>
            <w:r>
              <w:rPr>
                <w:rFonts w:cs="Times New Roman"/>
                <w:iCs/>
                <w:color w:val="auto"/>
                <w:kern w:val="0"/>
                <w:sz w:val="21"/>
                <w:szCs w:val="21"/>
              </w:rPr>
              <w:t>/h</w:t>
            </w:r>
            <w:r>
              <w:rPr>
                <w:rFonts w:ascii="宋体" w:hAnsi="宋体" w:cs="Times New Roman"/>
                <w:iCs/>
                <w:color w:val="auto"/>
                <w:kern w:val="0"/>
                <w:sz w:val="21"/>
                <w:szCs w:val="21"/>
              </w:rPr>
              <w:t>）</w:t>
            </w:r>
          </w:p>
        </w:tc>
        <w:tc>
          <w:tcPr>
            <w:tcW w:w="752" w:type="dxa"/>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cs="Times New Roman"/>
                <w:color w:val="auto"/>
                <w:sz w:val="21"/>
                <w:szCs w:val="21"/>
              </w:rPr>
              <w:t>2</w:t>
            </w:r>
            <w:r>
              <w:rPr>
                <w:rFonts w:hint="eastAsia" w:cs="Times New Roman"/>
                <w:color w:val="auto"/>
                <w:sz w:val="21"/>
                <w:szCs w:val="21"/>
              </w:rPr>
              <w:t>65</w:t>
            </w:r>
            <w:r>
              <w:rPr>
                <w:rFonts w:cs="Times New Roman"/>
                <w:color w:val="auto"/>
                <w:sz w:val="21"/>
                <w:szCs w:val="21"/>
              </w:rPr>
              <w:t>86</w:t>
            </w:r>
          </w:p>
        </w:tc>
        <w:tc>
          <w:tcPr>
            <w:tcW w:w="753" w:type="dxa"/>
            <w:gridSpan w:val="2"/>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cs="Times New Roman"/>
                <w:color w:val="auto"/>
                <w:sz w:val="21"/>
                <w:szCs w:val="21"/>
              </w:rPr>
              <w:t>2</w:t>
            </w:r>
            <w:r>
              <w:rPr>
                <w:rFonts w:hint="eastAsia" w:cs="Times New Roman"/>
                <w:color w:val="auto"/>
                <w:sz w:val="21"/>
                <w:szCs w:val="21"/>
              </w:rPr>
              <w:t>654</w:t>
            </w:r>
            <w:r>
              <w:rPr>
                <w:rFonts w:cs="Times New Roman"/>
                <w:color w:val="auto"/>
                <w:sz w:val="21"/>
                <w:szCs w:val="21"/>
              </w:rPr>
              <w:t>2</w:t>
            </w:r>
          </w:p>
        </w:tc>
        <w:tc>
          <w:tcPr>
            <w:tcW w:w="752" w:type="dxa"/>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cs="Times New Roman"/>
                <w:color w:val="auto"/>
                <w:sz w:val="21"/>
                <w:szCs w:val="21"/>
              </w:rPr>
              <w:t>2</w:t>
            </w:r>
            <w:r>
              <w:rPr>
                <w:rFonts w:hint="eastAsia" w:cs="Times New Roman"/>
                <w:color w:val="auto"/>
                <w:sz w:val="21"/>
                <w:szCs w:val="21"/>
              </w:rPr>
              <w:t>65</w:t>
            </w:r>
            <w:r>
              <w:rPr>
                <w:rFonts w:cs="Times New Roman"/>
                <w:color w:val="auto"/>
                <w:sz w:val="21"/>
                <w:szCs w:val="21"/>
              </w:rPr>
              <w:t>77</w:t>
            </w:r>
          </w:p>
        </w:tc>
        <w:tc>
          <w:tcPr>
            <w:tcW w:w="765" w:type="dxa"/>
            <w:tcBorders>
              <w:top w:val="single" w:color="000000" w:sz="4" w:space="0"/>
              <w:left w:val="nil"/>
              <w:bottom w:val="single" w:color="auto"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2</w:t>
            </w:r>
            <w:r>
              <w:rPr>
                <w:rFonts w:hint="eastAsia" w:cs="Times New Roman"/>
                <w:color w:val="auto"/>
                <w:sz w:val="21"/>
                <w:szCs w:val="21"/>
              </w:rPr>
              <w:t>653</w:t>
            </w:r>
            <w:r>
              <w:rPr>
                <w:rFonts w:cs="Times New Roman"/>
                <w:color w:val="auto"/>
                <w:sz w:val="21"/>
                <w:szCs w:val="21"/>
              </w:rPr>
              <w:t>9</w:t>
            </w:r>
          </w:p>
        </w:tc>
        <w:tc>
          <w:tcPr>
            <w:tcW w:w="644" w:type="dxa"/>
            <w:tcBorders>
              <w:top w:val="single" w:color="000000" w:sz="4" w:space="0"/>
              <w:left w:val="nil"/>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1063" w:hRule="atLeast"/>
          <w:jc w:val="center"/>
        </w:trPr>
        <w:tc>
          <w:tcPr>
            <w:tcW w:w="1205" w:type="dxa"/>
            <w:vMerge w:val="restart"/>
            <w:tcBorders>
              <w:top w:val="nil"/>
              <w:left w:val="single" w:color="000000" w:sz="4" w:space="0"/>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2025.12.11</w:t>
            </w:r>
          </w:p>
        </w:tc>
        <w:tc>
          <w:tcPr>
            <w:tcW w:w="2325" w:type="dxa"/>
            <w:gridSpan w:val="2"/>
            <w:vMerge w:val="restart"/>
            <w:tcBorders>
              <w:top w:val="nil"/>
              <w:left w:val="nil"/>
              <w:bottom w:val="single" w:color="000000" w:sz="4" w:space="0"/>
              <w:right w:val="single" w:color="auto" w:sz="4" w:space="0"/>
            </w:tcBorders>
            <w:vAlign w:val="center"/>
          </w:tcPr>
          <w:p>
            <w:pPr>
              <w:autoSpaceDE w:val="0"/>
              <w:spacing w:line="240" w:lineRule="auto"/>
              <w:ind w:firstLine="0" w:firstLineChars="0"/>
              <w:jc w:val="center"/>
              <w:rPr>
                <w:rFonts w:cs="Times New Roman"/>
                <w:iCs/>
                <w:color w:val="auto"/>
                <w:kern w:val="0"/>
                <w:sz w:val="21"/>
                <w:szCs w:val="21"/>
              </w:rPr>
            </w:pPr>
            <w:r>
              <w:rPr>
                <w:rFonts w:ascii="宋体" w:hAnsi="宋体" w:cs="Times New Roman"/>
                <w:color w:val="auto"/>
                <w:sz w:val="21"/>
                <w:szCs w:val="21"/>
              </w:rPr>
              <w:t>喷粉固化废气、喷漆废气（喷漆房</w:t>
            </w:r>
            <w:r>
              <w:rPr>
                <w:rFonts w:cs="Times New Roman"/>
                <w:color w:val="auto"/>
                <w:sz w:val="21"/>
                <w:szCs w:val="21"/>
              </w:rPr>
              <w:t>1</w:t>
            </w:r>
            <w:r>
              <w:rPr>
                <w:rFonts w:ascii="宋体" w:hAnsi="宋体" w:cs="Times New Roman"/>
                <w:color w:val="auto"/>
                <w:sz w:val="21"/>
                <w:szCs w:val="21"/>
              </w:rPr>
              <w:t>）、烘干废气（烤漆炉</w:t>
            </w:r>
            <w:r>
              <w:rPr>
                <w:rFonts w:cs="Times New Roman"/>
                <w:color w:val="auto"/>
                <w:sz w:val="21"/>
                <w:szCs w:val="21"/>
              </w:rPr>
              <w:t>1</w:t>
            </w:r>
            <w:r>
              <w:rPr>
                <w:rFonts w:ascii="宋体" w:hAnsi="宋体" w:cs="Times New Roman"/>
                <w:color w:val="auto"/>
                <w:sz w:val="21"/>
                <w:szCs w:val="21"/>
              </w:rPr>
              <w:t>）、调漆废气、液化石油气燃烧废气（烤漆炉</w:t>
            </w:r>
            <w:r>
              <w:rPr>
                <w:rFonts w:cs="Times New Roman"/>
                <w:color w:val="auto"/>
                <w:sz w:val="21"/>
                <w:szCs w:val="21"/>
              </w:rPr>
              <w:t>1</w:t>
            </w:r>
            <w:r>
              <w:rPr>
                <w:rFonts w:ascii="宋体" w:hAnsi="宋体" w:cs="Times New Roman"/>
                <w:color w:val="auto"/>
                <w:sz w:val="21"/>
                <w:szCs w:val="21"/>
              </w:rPr>
              <w:t>和固化炉）、危废间废气排放口（</w:t>
            </w:r>
            <w:r>
              <w:rPr>
                <w:rFonts w:cs="Times New Roman"/>
                <w:color w:val="auto"/>
                <w:sz w:val="21"/>
                <w:szCs w:val="21"/>
              </w:rPr>
              <w:t>DA001</w:t>
            </w:r>
            <w:r>
              <w:rPr>
                <w:rFonts w:ascii="宋体" w:hAnsi="宋体" w:cs="Times New Roman"/>
                <w:color w:val="auto"/>
                <w:sz w:val="21"/>
                <w:szCs w:val="21"/>
              </w:rPr>
              <w:t>）</w:t>
            </w:r>
          </w:p>
        </w:tc>
        <w:tc>
          <w:tcPr>
            <w:tcW w:w="1326" w:type="dxa"/>
            <w:gridSpan w:val="2"/>
            <w:tcBorders>
              <w:top w:val="single" w:color="000000" w:sz="4" w:space="0"/>
              <w:left w:val="nil"/>
              <w:bottom w:val="single" w:color="000000"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ascii="宋体" w:hAnsi="宋体" w:cs="Times New Roman"/>
                <w:color w:val="auto"/>
                <w:spacing w:val="9"/>
                <w:sz w:val="21"/>
                <w:szCs w:val="21"/>
              </w:rPr>
              <w:t>臭气浓度（无量纲）</w:t>
            </w:r>
          </w:p>
        </w:tc>
        <w:tc>
          <w:tcPr>
            <w:tcW w:w="752" w:type="dxa"/>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733</w:t>
            </w:r>
          </w:p>
        </w:tc>
        <w:tc>
          <w:tcPr>
            <w:tcW w:w="753" w:type="dxa"/>
            <w:gridSpan w:val="2"/>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977</w:t>
            </w:r>
          </w:p>
        </w:tc>
        <w:tc>
          <w:tcPr>
            <w:tcW w:w="752" w:type="dxa"/>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1303</w:t>
            </w:r>
          </w:p>
        </w:tc>
        <w:tc>
          <w:tcPr>
            <w:tcW w:w="765" w:type="dxa"/>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1738</w:t>
            </w:r>
          </w:p>
        </w:tc>
        <w:tc>
          <w:tcPr>
            <w:tcW w:w="644" w:type="dxa"/>
            <w:tcBorders>
              <w:top w:val="single" w:color="000000" w:sz="4" w:space="0"/>
              <w:left w:val="nil"/>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2000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48" w:hRule="atLeast"/>
          <w:jc w:val="center"/>
        </w:trPr>
        <w:tc>
          <w:tcPr>
            <w:tcW w:w="1205"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2325" w:type="dxa"/>
            <w:gridSpan w:val="2"/>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iCs/>
                <w:color w:val="auto"/>
                <w:kern w:val="0"/>
                <w:sz w:val="21"/>
                <w:szCs w:val="21"/>
              </w:rPr>
            </w:pPr>
          </w:p>
        </w:tc>
        <w:tc>
          <w:tcPr>
            <w:tcW w:w="1326" w:type="dxa"/>
            <w:gridSpan w:val="2"/>
            <w:tcBorders>
              <w:top w:val="single" w:color="000000" w:sz="4" w:space="0"/>
              <w:left w:val="nil"/>
              <w:bottom w:val="single" w:color="000000" w:sz="4" w:space="0"/>
              <w:right w:val="single" w:color="auto" w:sz="4" w:space="0"/>
            </w:tcBorders>
            <w:vAlign w:val="center"/>
          </w:tcPr>
          <w:p>
            <w:pPr>
              <w:autoSpaceDE w:val="0"/>
              <w:adjustRightInd w:val="0"/>
              <w:spacing w:line="240" w:lineRule="auto"/>
              <w:ind w:firstLine="0" w:firstLineChars="0"/>
              <w:jc w:val="center"/>
              <w:rPr>
                <w:rFonts w:cs="Times New Roman"/>
                <w:iCs/>
                <w:color w:val="auto"/>
                <w:kern w:val="0"/>
                <w:sz w:val="21"/>
                <w:szCs w:val="21"/>
              </w:rPr>
            </w:pPr>
            <w:r>
              <w:rPr>
                <w:rFonts w:ascii="宋体" w:hAnsi="宋体" w:cs="Times New Roman"/>
                <w:iCs/>
                <w:color w:val="auto"/>
                <w:kern w:val="0"/>
                <w:sz w:val="21"/>
                <w:szCs w:val="21"/>
              </w:rPr>
              <w:t>标干流量（</w:t>
            </w:r>
            <w:r>
              <w:rPr>
                <w:rFonts w:cs="Times New Roman"/>
                <w:iCs/>
                <w:color w:val="auto"/>
                <w:kern w:val="0"/>
                <w:sz w:val="21"/>
                <w:szCs w:val="21"/>
              </w:rPr>
              <w:t>m</w:t>
            </w:r>
            <w:r>
              <w:rPr>
                <w:rFonts w:cs="Times New Roman"/>
                <w:iCs/>
                <w:color w:val="auto"/>
                <w:kern w:val="0"/>
                <w:sz w:val="21"/>
                <w:szCs w:val="21"/>
                <w:vertAlign w:val="superscript"/>
              </w:rPr>
              <w:t>3</w:t>
            </w:r>
            <w:r>
              <w:rPr>
                <w:rFonts w:cs="Times New Roman"/>
                <w:iCs/>
                <w:color w:val="auto"/>
                <w:kern w:val="0"/>
                <w:sz w:val="21"/>
                <w:szCs w:val="21"/>
              </w:rPr>
              <w:t>/h</w:t>
            </w:r>
            <w:r>
              <w:rPr>
                <w:rFonts w:ascii="宋体" w:hAnsi="宋体" w:cs="Times New Roman"/>
                <w:iCs/>
                <w:color w:val="auto"/>
                <w:kern w:val="0"/>
                <w:sz w:val="21"/>
                <w:szCs w:val="21"/>
              </w:rPr>
              <w:t>）</w:t>
            </w:r>
          </w:p>
        </w:tc>
        <w:tc>
          <w:tcPr>
            <w:tcW w:w="752" w:type="dxa"/>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hint="eastAsia" w:cs="Times New Roman"/>
                <w:color w:val="auto"/>
                <w:sz w:val="21"/>
                <w:szCs w:val="21"/>
              </w:rPr>
              <w:t>312</w:t>
            </w:r>
            <w:r>
              <w:rPr>
                <w:rFonts w:cs="Times New Roman"/>
                <w:color w:val="auto"/>
                <w:sz w:val="21"/>
                <w:szCs w:val="21"/>
              </w:rPr>
              <w:t>93</w:t>
            </w:r>
          </w:p>
        </w:tc>
        <w:tc>
          <w:tcPr>
            <w:tcW w:w="753" w:type="dxa"/>
            <w:gridSpan w:val="2"/>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hint="eastAsia" w:cs="Times New Roman"/>
                <w:color w:val="auto"/>
                <w:sz w:val="21"/>
                <w:szCs w:val="21"/>
              </w:rPr>
              <w:t>313</w:t>
            </w:r>
            <w:r>
              <w:rPr>
                <w:rFonts w:cs="Times New Roman"/>
                <w:color w:val="auto"/>
                <w:sz w:val="21"/>
                <w:szCs w:val="21"/>
              </w:rPr>
              <w:t>12</w:t>
            </w:r>
          </w:p>
        </w:tc>
        <w:tc>
          <w:tcPr>
            <w:tcW w:w="752" w:type="dxa"/>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hint="eastAsia" w:cs="Times New Roman"/>
                <w:color w:val="auto"/>
                <w:sz w:val="21"/>
                <w:szCs w:val="21"/>
              </w:rPr>
              <w:t>311</w:t>
            </w:r>
            <w:r>
              <w:rPr>
                <w:rFonts w:cs="Times New Roman"/>
                <w:color w:val="auto"/>
                <w:sz w:val="21"/>
                <w:szCs w:val="21"/>
              </w:rPr>
              <w:t>86</w:t>
            </w:r>
          </w:p>
        </w:tc>
        <w:tc>
          <w:tcPr>
            <w:tcW w:w="765" w:type="dxa"/>
            <w:tcBorders>
              <w:top w:val="single" w:color="000000" w:sz="4" w:space="0"/>
              <w:left w:val="nil"/>
              <w:bottom w:val="single" w:color="auto"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hint="eastAsia" w:cs="Times New Roman"/>
                <w:color w:val="auto"/>
                <w:sz w:val="21"/>
                <w:szCs w:val="21"/>
              </w:rPr>
              <w:t>31</w:t>
            </w:r>
            <w:r>
              <w:rPr>
                <w:rFonts w:cs="Times New Roman"/>
                <w:color w:val="auto"/>
                <w:sz w:val="21"/>
                <w:szCs w:val="21"/>
              </w:rPr>
              <w:t>102</w:t>
            </w:r>
          </w:p>
        </w:tc>
        <w:tc>
          <w:tcPr>
            <w:tcW w:w="644" w:type="dxa"/>
            <w:tcBorders>
              <w:top w:val="single" w:color="000000" w:sz="4" w:space="0"/>
              <w:left w:val="nil"/>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919" w:hRule="atLeast"/>
          <w:jc w:val="center"/>
        </w:trPr>
        <w:tc>
          <w:tcPr>
            <w:tcW w:w="1205"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2325" w:type="dxa"/>
            <w:gridSpan w:val="2"/>
            <w:vMerge w:val="restart"/>
            <w:tcBorders>
              <w:top w:val="nil"/>
              <w:left w:val="nil"/>
              <w:bottom w:val="single" w:color="000000" w:sz="4" w:space="0"/>
              <w:right w:val="single" w:color="auto" w:sz="4" w:space="0"/>
            </w:tcBorders>
            <w:vAlign w:val="center"/>
          </w:tcPr>
          <w:p>
            <w:pPr>
              <w:autoSpaceDE w:val="0"/>
              <w:spacing w:line="240" w:lineRule="auto"/>
              <w:ind w:firstLine="0" w:firstLineChars="0"/>
              <w:jc w:val="center"/>
              <w:rPr>
                <w:rFonts w:cs="Times New Roman"/>
                <w:iCs/>
                <w:color w:val="auto"/>
                <w:kern w:val="0"/>
                <w:sz w:val="21"/>
                <w:szCs w:val="21"/>
              </w:rPr>
            </w:pPr>
            <w:r>
              <w:rPr>
                <w:rFonts w:ascii="宋体" w:hAnsi="宋体" w:cs="Times New Roman"/>
                <w:color w:val="auto"/>
                <w:sz w:val="21"/>
                <w:szCs w:val="21"/>
              </w:rPr>
              <w:t>胶合有机废气、清抹有机废气、喷漆废气（喷漆房</w:t>
            </w:r>
            <w:r>
              <w:rPr>
                <w:rFonts w:cs="Times New Roman"/>
                <w:color w:val="auto"/>
                <w:sz w:val="21"/>
                <w:szCs w:val="21"/>
              </w:rPr>
              <w:t>2</w:t>
            </w:r>
            <w:r>
              <w:rPr>
                <w:rFonts w:ascii="宋体" w:hAnsi="宋体" w:cs="Times New Roman"/>
                <w:color w:val="auto"/>
                <w:sz w:val="21"/>
                <w:szCs w:val="21"/>
              </w:rPr>
              <w:t>）、烘干废气（烤漆炉</w:t>
            </w:r>
            <w:r>
              <w:rPr>
                <w:rFonts w:cs="Times New Roman"/>
                <w:color w:val="auto"/>
                <w:sz w:val="21"/>
                <w:szCs w:val="21"/>
              </w:rPr>
              <w:t>2</w:t>
            </w:r>
            <w:r>
              <w:rPr>
                <w:rFonts w:ascii="宋体" w:hAnsi="宋体" w:cs="Times New Roman"/>
                <w:color w:val="auto"/>
                <w:sz w:val="21"/>
                <w:szCs w:val="21"/>
              </w:rPr>
              <w:t>）、液化石油气燃烧（烤漆炉</w:t>
            </w:r>
            <w:r>
              <w:rPr>
                <w:rFonts w:cs="Times New Roman"/>
                <w:color w:val="auto"/>
                <w:sz w:val="21"/>
                <w:szCs w:val="21"/>
              </w:rPr>
              <w:t>2</w:t>
            </w:r>
            <w:r>
              <w:rPr>
                <w:rFonts w:ascii="宋体" w:hAnsi="宋体" w:cs="Times New Roman"/>
                <w:color w:val="auto"/>
                <w:sz w:val="21"/>
                <w:szCs w:val="21"/>
              </w:rPr>
              <w:t>）废气排放口（</w:t>
            </w:r>
            <w:r>
              <w:rPr>
                <w:rFonts w:cs="Times New Roman"/>
                <w:color w:val="auto"/>
                <w:sz w:val="21"/>
                <w:szCs w:val="21"/>
              </w:rPr>
              <w:t>DA002</w:t>
            </w:r>
            <w:r>
              <w:rPr>
                <w:rFonts w:ascii="宋体" w:hAnsi="宋体" w:cs="Times New Roman"/>
                <w:color w:val="auto"/>
                <w:sz w:val="21"/>
                <w:szCs w:val="21"/>
              </w:rPr>
              <w:t>）</w:t>
            </w:r>
          </w:p>
        </w:tc>
        <w:tc>
          <w:tcPr>
            <w:tcW w:w="1326" w:type="dxa"/>
            <w:gridSpan w:val="2"/>
            <w:tcBorders>
              <w:top w:val="single" w:color="000000" w:sz="4" w:space="0"/>
              <w:left w:val="nil"/>
              <w:bottom w:val="single" w:color="000000"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ascii="宋体" w:hAnsi="宋体" w:cs="Times New Roman"/>
                <w:color w:val="auto"/>
                <w:spacing w:val="9"/>
                <w:sz w:val="21"/>
                <w:szCs w:val="21"/>
              </w:rPr>
              <w:t>臭气浓度（无量纲）</w:t>
            </w:r>
          </w:p>
        </w:tc>
        <w:tc>
          <w:tcPr>
            <w:tcW w:w="752" w:type="dxa"/>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846</w:t>
            </w:r>
          </w:p>
        </w:tc>
        <w:tc>
          <w:tcPr>
            <w:tcW w:w="753" w:type="dxa"/>
            <w:gridSpan w:val="2"/>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1128</w:t>
            </w:r>
          </w:p>
        </w:tc>
        <w:tc>
          <w:tcPr>
            <w:tcW w:w="752" w:type="dxa"/>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1505</w:t>
            </w:r>
          </w:p>
        </w:tc>
        <w:tc>
          <w:tcPr>
            <w:tcW w:w="765" w:type="dxa"/>
            <w:tcBorders>
              <w:top w:val="single" w:color="000000" w:sz="4" w:space="0"/>
              <w:left w:val="nil"/>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733</w:t>
            </w:r>
          </w:p>
        </w:tc>
        <w:tc>
          <w:tcPr>
            <w:tcW w:w="644" w:type="dxa"/>
            <w:tcBorders>
              <w:top w:val="single" w:color="000000" w:sz="4" w:space="0"/>
              <w:left w:val="nil"/>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2000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48" w:hRule="atLeast"/>
          <w:jc w:val="center"/>
        </w:trPr>
        <w:tc>
          <w:tcPr>
            <w:tcW w:w="1205" w:type="dxa"/>
            <w:vMerge w:val="continue"/>
            <w:tcBorders>
              <w:top w:val="nil"/>
              <w:left w:val="single" w:color="000000" w:sz="4" w:space="0"/>
              <w:bottom w:val="single" w:color="000000"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2325" w:type="dxa"/>
            <w:gridSpan w:val="2"/>
            <w:vMerge w:val="continue"/>
            <w:tcBorders>
              <w:top w:val="nil"/>
              <w:left w:val="nil"/>
              <w:bottom w:val="single" w:color="000000" w:sz="4" w:space="0"/>
              <w:right w:val="single" w:color="auto" w:sz="4" w:space="0"/>
            </w:tcBorders>
            <w:vAlign w:val="center"/>
          </w:tcPr>
          <w:p>
            <w:pPr>
              <w:widowControl/>
              <w:spacing w:line="240" w:lineRule="auto"/>
              <w:ind w:firstLine="0" w:firstLineChars="0"/>
              <w:jc w:val="left"/>
              <w:rPr>
                <w:rFonts w:cs="Times New Roman"/>
                <w:iCs/>
                <w:color w:val="auto"/>
                <w:kern w:val="0"/>
                <w:sz w:val="21"/>
                <w:szCs w:val="21"/>
              </w:rPr>
            </w:pPr>
          </w:p>
        </w:tc>
        <w:tc>
          <w:tcPr>
            <w:tcW w:w="1326" w:type="dxa"/>
            <w:gridSpan w:val="2"/>
            <w:tcBorders>
              <w:top w:val="single" w:color="000000" w:sz="4" w:space="0"/>
              <w:left w:val="nil"/>
              <w:bottom w:val="single" w:color="000000" w:sz="4" w:space="0"/>
              <w:right w:val="single" w:color="auto" w:sz="4" w:space="0"/>
            </w:tcBorders>
            <w:vAlign w:val="center"/>
          </w:tcPr>
          <w:p>
            <w:pPr>
              <w:autoSpaceDE w:val="0"/>
              <w:adjustRightInd w:val="0"/>
              <w:spacing w:line="240" w:lineRule="auto"/>
              <w:ind w:firstLine="0" w:firstLineChars="0"/>
              <w:jc w:val="center"/>
              <w:rPr>
                <w:rFonts w:cs="Times New Roman"/>
                <w:iCs/>
                <w:color w:val="auto"/>
                <w:kern w:val="0"/>
                <w:sz w:val="21"/>
                <w:szCs w:val="21"/>
              </w:rPr>
            </w:pPr>
            <w:r>
              <w:rPr>
                <w:rFonts w:ascii="宋体" w:hAnsi="宋体" w:cs="Times New Roman"/>
                <w:iCs/>
                <w:color w:val="auto"/>
                <w:kern w:val="0"/>
                <w:sz w:val="21"/>
                <w:szCs w:val="21"/>
              </w:rPr>
              <w:t>标干流量（</w:t>
            </w:r>
            <w:r>
              <w:rPr>
                <w:rFonts w:cs="Times New Roman"/>
                <w:iCs/>
                <w:color w:val="auto"/>
                <w:kern w:val="0"/>
                <w:sz w:val="21"/>
                <w:szCs w:val="21"/>
              </w:rPr>
              <w:t>m</w:t>
            </w:r>
            <w:r>
              <w:rPr>
                <w:rFonts w:cs="Times New Roman"/>
                <w:iCs/>
                <w:color w:val="auto"/>
                <w:kern w:val="0"/>
                <w:sz w:val="21"/>
                <w:szCs w:val="21"/>
                <w:vertAlign w:val="superscript"/>
              </w:rPr>
              <w:t>3</w:t>
            </w:r>
            <w:r>
              <w:rPr>
                <w:rFonts w:cs="Times New Roman"/>
                <w:iCs/>
                <w:color w:val="auto"/>
                <w:kern w:val="0"/>
                <w:sz w:val="21"/>
                <w:szCs w:val="21"/>
              </w:rPr>
              <w:t>/h</w:t>
            </w:r>
            <w:r>
              <w:rPr>
                <w:rFonts w:ascii="宋体" w:hAnsi="宋体" w:cs="Times New Roman"/>
                <w:iCs/>
                <w:color w:val="auto"/>
                <w:kern w:val="0"/>
                <w:sz w:val="21"/>
                <w:szCs w:val="21"/>
              </w:rPr>
              <w:t>）</w:t>
            </w:r>
          </w:p>
        </w:tc>
        <w:tc>
          <w:tcPr>
            <w:tcW w:w="752" w:type="dxa"/>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cs="Times New Roman"/>
                <w:color w:val="auto"/>
                <w:sz w:val="21"/>
                <w:szCs w:val="21"/>
              </w:rPr>
              <w:t>2</w:t>
            </w:r>
            <w:r>
              <w:rPr>
                <w:rFonts w:hint="eastAsia" w:cs="Times New Roman"/>
                <w:color w:val="auto"/>
                <w:sz w:val="21"/>
                <w:szCs w:val="21"/>
              </w:rPr>
              <w:t>6553</w:t>
            </w:r>
          </w:p>
        </w:tc>
        <w:tc>
          <w:tcPr>
            <w:tcW w:w="753" w:type="dxa"/>
            <w:gridSpan w:val="2"/>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cs="Times New Roman"/>
                <w:color w:val="auto"/>
                <w:sz w:val="21"/>
                <w:szCs w:val="21"/>
              </w:rPr>
              <w:t>2</w:t>
            </w:r>
            <w:r>
              <w:rPr>
                <w:rFonts w:hint="eastAsia" w:cs="Times New Roman"/>
                <w:color w:val="auto"/>
                <w:sz w:val="21"/>
                <w:szCs w:val="21"/>
              </w:rPr>
              <w:t>6538</w:t>
            </w:r>
          </w:p>
        </w:tc>
        <w:tc>
          <w:tcPr>
            <w:tcW w:w="752" w:type="dxa"/>
            <w:tcBorders>
              <w:top w:val="single" w:color="000000" w:sz="4" w:space="0"/>
              <w:left w:val="nil"/>
              <w:bottom w:val="single" w:color="auto" w:sz="4" w:space="0"/>
              <w:right w:val="single" w:color="auto" w:sz="4" w:space="0"/>
            </w:tcBorders>
            <w:vAlign w:val="center"/>
          </w:tcPr>
          <w:p>
            <w:pPr>
              <w:autoSpaceDE w:val="0"/>
              <w:adjustRightInd w:val="0"/>
              <w:spacing w:line="240" w:lineRule="auto"/>
              <w:ind w:firstLine="0" w:firstLineChars="0"/>
              <w:jc w:val="center"/>
              <w:rPr>
                <w:rFonts w:cs="Times New Roman"/>
                <w:color w:val="auto"/>
                <w:sz w:val="21"/>
                <w:szCs w:val="21"/>
              </w:rPr>
            </w:pPr>
            <w:r>
              <w:rPr>
                <w:rFonts w:cs="Times New Roman"/>
                <w:color w:val="auto"/>
                <w:sz w:val="21"/>
                <w:szCs w:val="21"/>
              </w:rPr>
              <w:t>2</w:t>
            </w:r>
            <w:r>
              <w:rPr>
                <w:rFonts w:hint="eastAsia" w:cs="Times New Roman"/>
                <w:color w:val="auto"/>
                <w:sz w:val="21"/>
                <w:szCs w:val="21"/>
              </w:rPr>
              <w:t>6569</w:t>
            </w:r>
          </w:p>
        </w:tc>
        <w:tc>
          <w:tcPr>
            <w:tcW w:w="765" w:type="dxa"/>
            <w:tcBorders>
              <w:top w:val="single" w:color="000000" w:sz="4" w:space="0"/>
              <w:left w:val="nil"/>
              <w:bottom w:val="single" w:color="auto"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2</w:t>
            </w:r>
            <w:r>
              <w:rPr>
                <w:rFonts w:hint="eastAsia" w:cs="Times New Roman"/>
                <w:color w:val="auto"/>
                <w:sz w:val="21"/>
                <w:szCs w:val="21"/>
              </w:rPr>
              <w:t>65</w:t>
            </w:r>
            <w:r>
              <w:rPr>
                <w:rFonts w:cs="Times New Roman"/>
                <w:color w:val="auto"/>
                <w:sz w:val="21"/>
                <w:szCs w:val="21"/>
              </w:rPr>
              <w:t>91</w:t>
            </w:r>
          </w:p>
        </w:tc>
        <w:tc>
          <w:tcPr>
            <w:tcW w:w="644" w:type="dxa"/>
            <w:tcBorders>
              <w:top w:val="single" w:color="000000" w:sz="4" w:space="0"/>
              <w:left w:val="nil"/>
              <w:bottom w:val="single" w:color="000000" w:sz="4" w:space="0"/>
              <w:right w:val="single" w:color="auto" w:sz="4" w:space="0"/>
            </w:tcBorders>
            <w:vAlign w:val="center"/>
          </w:tcPr>
          <w:p>
            <w:pPr>
              <w:adjustRightInd w:val="0"/>
              <w:spacing w:line="240" w:lineRule="auto"/>
              <w:ind w:firstLine="0" w:firstLineChars="0"/>
              <w:jc w:val="center"/>
              <w:rPr>
                <w:rFonts w:cs="Times New Roman"/>
                <w:color w:val="auto"/>
                <w:sz w:val="21"/>
                <w:szCs w:val="21"/>
              </w:rPr>
            </w:pPr>
            <w:r>
              <w:rPr>
                <w:rFonts w:cs="Times New Roman"/>
                <w:color w:val="auto"/>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735" w:hRule="atLeast"/>
          <w:jc w:val="center"/>
        </w:trPr>
        <w:tc>
          <w:tcPr>
            <w:tcW w:w="8522" w:type="dxa"/>
            <w:gridSpan w:val="11"/>
            <w:tcBorders>
              <w:top w:val="single" w:color="000000" w:sz="4" w:space="0"/>
              <w:left w:val="single" w:color="000000" w:sz="4" w:space="0"/>
              <w:bottom w:val="single" w:color="000000" w:sz="4" w:space="0"/>
              <w:right w:val="single" w:color="auto" w:sz="4" w:space="0"/>
            </w:tcBorders>
            <w:vAlign w:val="center"/>
          </w:tcPr>
          <w:p>
            <w:pPr>
              <w:autoSpaceDE w:val="0"/>
              <w:spacing w:line="240" w:lineRule="auto"/>
              <w:ind w:left="1050" w:hanging="1050" w:hangingChars="500"/>
              <w:rPr>
                <w:rFonts w:cs="Times New Roman"/>
                <w:color w:val="auto"/>
                <w:sz w:val="21"/>
                <w:szCs w:val="21"/>
              </w:rPr>
            </w:pPr>
            <w:r>
              <w:rPr>
                <w:rFonts w:ascii="宋体" w:hAnsi="宋体" w:cs="Times New Roman"/>
                <w:color w:val="auto"/>
                <w:sz w:val="21"/>
                <w:szCs w:val="21"/>
              </w:rPr>
              <w:t>备注：</w:t>
            </w:r>
            <w:r>
              <w:rPr>
                <w:rFonts w:cs="Times New Roman"/>
                <w:color w:val="auto"/>
                <w:sz w:val="21"/>
                <w:szCs w:val="21"/>
              </w:rPr>
              <w:t>1</w:t>
            </w:r>
            <w:r>
              <w:rPr>
                <w:rFonts w:ascii="宋体" w:hAnsi="宋体" w:cs="Times New Roman"/>
                <w:color w:val="auto"/>
                <w:sz w:val="21"/>
                <w:szCs w:val="21"/>
              </w:rPr>
              <w:t>、项目执行</w:t>
            </w:r>
            <w:r>
              <w:rPr>
                <w:rFonts w:ascii="宋体" w:hAnsi="宋体" w:cs="Times New Roman"/>
                <w:color w:val="auto"/>
                <w:spacing w:val="-6"/>
                <w:sz w:val="21"/>
                <w:szCs w:val="21"/>
              </w:rPr>
              <w:t>《恶臭污染物排放标准》</w:t>
            </w:r>
            <w:r>
              <w:rPr>
                <w:rFonts w:cs="Times New Roman"/>
                <w:color w:val="auto"/>
                <w:spacing w:val="-6"/>
                <w:sz w:val="21"/>
                <w:szCs w:val="21"/>
              </w:rPr>
              <w:t>(GB14554-93)</w:t>
            </w:r>
            <w:r>
              <w:rPr>
                <w:rFonts w:ascii="宋体" w:hAnsi="宋体" w:cs="Times New Roman"/>
                <w:color w:val="auto"/>
                <w:spacing w:val="-6"/>
                <w:sz w:val="21"/>
                <w:szCs w:val="21"/>
              </w:rPr>
              <w:t>中表</w:t>
            </w:r>
            <w:r>
              <w:rPr>
                <w:rFonts w:cs="Times New Roman"/>
                <w:color w:val="auto"/>
                <w:spacing w:val="-7"/>
                <w:sz w:val="21"/>
                <w:szCs w:val="21"/>
              </w:rPr>
              <w:t>2</w:t>
            </w:r>
            <w:r>
              <w:rPr>
                <w:rFonts w:ascii="宋体" w:hAnsi="宋体" w:cs="Times New Roman"/>
                <w:color w:val="auto"/>
                <w:spacing w:val="5"/>
                <w:sz w:val="21"/>
                <w:szCs w:val="21"/>
              </w:rPr>
              <w:t>恶臭污染物排放标准值；</w:t>
            </w:r>
          </w:p>
          <w:p>
            <w:pPr>
              <w:spacing w:line="240" w:lineRule="auto"/>
              <w:ind w:left="240" w:firstLine="630" w:firstLineChars="300"/>
              <w:rPr>
                <w:rFonts w:cs="Times New Roman"/>
                <w:b/>
                <w:bCs/>
                <w:color w:val="auto"/>
                <w:sz w:val="21"/>
                <w:szCs w:val="21"/>
              </w:rPr>
            </w:pPr>
            <w:r>
              <w:rPr>
                <w:rFonts w:cs="Times New Roman"/>
                <w:color w:val="auto"/>
                <w:sz w:val="21"/>
                <w:szCs w:val="21"/>
              </w:rPr>
              <w:t>2</w:t>
            </w:r>
            <w:r>
              <w:rPr>
                <w:rFonts w:ascii="宋体" w:hAnsi="宋体" w:cs="Times New Roman"/>
                <w:color w:val="auto"/>
                <w:sz w:val="21"/>
                <w:szCs w:val="21"/>
              </w:rPr>
              <w:t>、本报告结果只对当时采集的样品负责。</w:t>
            </w:r>
          </w:p>
        </w:tc>
      </w:tr>
    </w:tbl>
    <w:p>
      <w:pPr>
        <w:pStyle w:val="37"/>
        <w:rPr>
          <w:rFonts w:cs="Times New Roman"/>
          <w:color w:val="auto"/>
        </w:rPr>
      </w:pPr>
      <w:r>
        <w:rPr>
          <w:rFonts w:hint="eastAsia"/>
          <w:color w:val="auto"/>
        </w:rPr>
        <w:t>表 9.1</w:t>
      </w:r>
      <w:r>
        <w:rPr>
          <w:color w:val="auto"/>
        </w:rPr>
        <w:noBreakHyphen/>
      </w:r>
      <w:r>
        <w:rPr>
          <w:rFonts w:hint="eastAsia"/>
          <w:color w:val="auto"/>
        </w:rPr>
        <w:t>3</w:t>
      </w:r>
      <w:r>
        <w:rPr>
          <w:color w:val="auto"/>
        </w:rPr>
        <w:t xml:space="preserve"> </w:t>
      </w:r>
      <w:r>
        <w:rPr>
          <w:rFonts w:hint="eastAsia"/>
          <w:color w:val="auto"/>
        </w:rPr>
        <w:t>有组织废气检测结果（4）</w:t>
      </w:r>
    </w:p>
    <w:tbl>
      <w:tblPr>
        <w:tblStyle w:val="24"/>
        <w:tblW w:w="852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25"/>
        <w:gridCol w:w="619"/>
        <w:gridCol w:w="1195"/>
        <w:gridCol w:w="194"/>
        <w:gridCol w:w="493"/>
        <w:gridCol w:w="689"/>
        <w:gridCol w:w="10"/>
        <w:gridCol w:w="677"/>
        <w:gridCol w:w="533"/>
        <w:gridCol w:w="152"/>
        <w:gridCol w:w="695"/>
        <w:gridCol w:w="390"/>
        <w:gridCol w:w="300"/>
        <w:gridCol w:w="8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4" w:hRule="atLeast"/>
          <w:jc w:val="center"/>
        </w:trPr>
        <w:tc>
          <w:tcPr>
            <w:tcW w:w="8522" w:type="dxa"/>
            <w:gridSpan w:val="14"/>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482" w:firstLineChars="0"/>
              <w:jc w:val="center"/>
              <w:rPr>
                <w:rFonts w:cs="Times New Roman"/>
                <w:b/>
                <w:bCs/>
                <w:color w:val="auto"/>
                <w:kern w:val="0"/>
                <w:sz w:val="21"/>
                <w:szCs w:val="21"/>
              </w:rPr>
            </w:pPr>
            <w:r>
              <w:rPr>
                <w:rFonts w:cs="Times New Roman"/>
                <w:b/>
                <w:bCs/>
                <w:color w:val="auto"/>
                <w:kern w:val="0"/>
                <w:sz w:val="21"/>
                <w:szCs w:val="21"/>
              </w:rPr>
              <w:t>1</w:t>
            </w:r>
            <w:r>
              <w:rPr>
                <w:rFonts w:ascii="宋体" w:hAnsi="宋体" w:cs="Times New Roman"/>
                <w:b/>
                <w:bCs/>
                <w:color w:val="auto"/>
                <w:kern w:val="0"/>
                <w:sz w:val="21"/>
                <w:szCs w:val="21"/>
              </w:rPr>
              <w:t>、采样信息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725"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b/>
                <w:bCs/>
                <w:color w:val="auto"/>
                <w:kern w:val="0"/>
                <w:sz w:val="21"/>
                <w:szCs w:val="21"/>
              </w:rPr>
            </w:pPr>
            <w:r>
              <w:rPr>
                <w:rFonts w:ascii="宋体" w:hAnsi="宋体" w:cs="Times New Roman"/>
                <w:b/>
                <w:bCs/>
                <w:color w:val="auto"/>
                <w:kern w:val="0"/>
                <w:sz w:val="21"/>
                <w:szCs w:val="21"/>
              </w:rPr>
              <w:t>检测点位</w:t>
            </w:r>
          </w:p>
        </w:tc>
        <w:tc>
          <w:tcPr>
            <w:tcW w:w="2008" w:type="dxa"/>
            <w:gridSpan w:val="3"/>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b/>
                <w:bCs/>
                <w:color w:val="auto"/>
                <w:kern w:val="0"/>
                <w:sz w:val="21"/>
                <w:szCs w:val="21"/>
              </w:rPr>
            </w:pPr>
            <w:r>
              <w:rPr>
                <w:rFonts w:ascii="宋体" w:hAnsi="宋体" w:cs="Times New Roman"/>
                <w:b/>
                <w:bCs/>
                <w:color w:val="auto"/>
                <w:kern w:val="0"/>
                <w:sz w:val="21"/>
                <w:szCs w:val="21"/>
              </w:rPr>
              <w:t>排气筒高度（</w:t>
            </w:r>
            <w:r>
              <w:rPr>
                <w:rFonts w:cs="Times New Roman"/>
                <w:b/>
                <w:bCs/>
                <w:color w:val="auto"/>
                <w:kern w:val="0"/>
                <w:sz w:val="21"/>
                <w:szCs w:val="21"/>
              </w:rPr>
              <w:t>m</w:t>
            </w:r>
            <w:r>
              <w:rPr>
                <w:rFonts w:ascii="宋体" w:hAnsi="宋体" w:cs="Times New Roman"/>
                <w:b/>
                <w:bCs/>
                <w:color w:val="auto"/>
                <w:kern w:val="0"/>
                <w:sz w:val="21"/>
                <w:szCs w:val="21"/>
              </w:rPr>
              <w:t>）</w:t>
            </w:r>
          </w:p>
        </w:tc>
        <w:tc>
          <w:tcPr>
            <w:tcW w:w="1192" w:type="dxa"/>
            <w:gridSpan w:val="3"/>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b/>
                <w:bCs/>
                <w:color w:val="auto"/>
                <w:kern w:val="0"/>
                <w:sz w:val="21"/>
                <w:szCs w:val="21"/>
              </w:rPr>
            </w:pPr>
            <w:r>
              <w:rPr>
                <w:rFonts w:ascii="宋体" w:hAnsi="宋体" w:cs="Times New Roman"/>
                <w:b/>
                <w:bCs/>
                <w:color w:val="auto"/>
                <w:kern w:val="0"/>
                <w:sz w:val="21"/>
                <w:szCs w:val="21"/>
              </w:rPr>
              <w:t>截面积（</w:t>
            </w:r>
            <w:r>
              <w:rPr>
                <w:rFonts w:cs="Times New Roman"/>
                <w:b/>
                <w:bCs/>
                <w:color w:val="auto"/>
                <w:kern w:val="0"/>
                <w:sz w:val="21"/>
                <w:szCs w:val="21"/>
              </w:rPr>
              <w:t>m</w:t>
            </w:r>
            <w:r>
              <w:rPr>
                <w:rFonts w:cs="Times New Roman"/>
                <w:b/>
                <w:bCs/>
                <w:color w:val="auto"/>
                <w:kern w:val="0"/>
                <w:sz w:val="21"/>
                <w:szCs w:val="21"/>
                <w:vertAlign w:val="superscript"/>
              </w:rPr>
              <w:t>2</w:t>
            </w:r>
            <w:r>
              <w:rPr>
                <w:rFonts w:ascii="宋体" w:hAnsi="宋体" w:cs="Times New Roman"/>
                <w:b/>
                <w:bCs/>
                <w:color w:val="auto"/>
                <w:kern w:val="0"/>
                <w:sz w:val="21"/>
                <w:szCs w:val="21"/>
              </w:rPr>
              <w:t>）</w:t>
            </w:r>
          </w:p>
        </w:tc>
        <w:tc>
          <w:tcPr>
            <w:tcW w:w="1210" w:type="dxa"/>
            <w:gridSpan w:val="2"/>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b/>
                <w:bCs/>
                <w:color w:val="auto"/>
                <w:kern w:val="0"/>
                <w:sz w:val="21"/>
                <w:szCs w:val="21"/>
              </w:rPr>
            </w:pPr>
            <w:r>
              <w:rPr>
                <w:rFonts w:cs="Times New Roman"/>
                <w:b/>
                <w:bCs/>
                <w:color w:val="auto"/>
                <w:kern w:val="0"/>
                <w:sz w:val="21"/>
                <w:szCs w:val="21"/>
              </w:rPr>
              <w:t>(</w:t>
            </w:r>
            <w:r>
              <w:rPr>
                <w:rFonts w:ascii="宋体" w:hAnsi="宋体" w:cs="Times New Roman"/>
                <w:b/>
                <w:bCs/>
                <w:color w:val="auto"/>
                <w:kern w:val="0"/>
                <w:sz w:val="21"/>
                <w:szCs w:val="21"/>
              </w:rPr>
              <w:t>折算）灶头数</w:t>
            </w:r>
          </w:p>
        </w:tc>
        <w:tc>
          <w:tcPr>
            <w:tcW w:w="1237" w:type="dxa"/>
            <w:gridSpan w:val="3"/>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b/>
                <w:bCs/>
                <w:color w:val="auto"/>
                <w:kern w:val="0"/>
                <w:sz w:val="21"/>
                <w:szCs w:val="21"/>
              </w:rPr>
            </w:pPr>
            <w:r>
              <w:rPr>
                <w:rFonts w:ascii="宋体" w:hAnsi="宋体" w:cs="Times New Roman"/>
                <w:b/>
                <w:bCs/>
                <w:color w:val="auto"/>
                <w:kern w:val="0"/>
                <w:sz w:val="21"/>
                <w:szCs w:val="21"/>
              </w:rPr>
              <w:t>采样现场工况</w:t>
            </w:r>
          </w:p>
        </w:tc>
        <w:tc>
          <w:tcPr>
            <w:tcW w:w="1150" w:type="dxa"/>
            <w:gridSpan w:val="2"/>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b/>
                <w:bCs/>
                <w:color w:val="auto"/>
                <w:kern w:val="0"/>
                <w:sz w:val="21"/>
                <w:szCs w:val="21"/>
              </w:rPr>
            </w:pPr>
            <w:r>
              <w:rPr>
                <w:rFonts w:ascii="宋体" w:hAnsi="宋体" w:cs="Times New Roman"/>
                <w:b/>
                <w:bCs/>
                <w:color w:val="auto"/>
                <w:kern w:val="0"/>
                <w:sz w:val="21"/>
                <w:szCs w:val="21"/>
              </w:rPr>
              <w:t>处理设施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27" w:hRule="atLeast"/>
          <w:jc w:val="center"/>
        </w:trPr>
        <w:tc>
          <w:tcPr>
            <w:tcW w:w="1725"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kern w:val="0"/>
                <w:sz w:val="21"/>
                <w:szCs w:val="21"/>
              </w:rPr>
            </w:pPr>
            <w:r>
              <w:rPr>
                <w:rFonts w:ascii="宋体" w:hAnsi="宋体" w:cs="Times New Roman"/>
                <w:color w:val="auto"/>
                <w:kern w:val="0"/>
                <w:sz w:val="21"/>
                <w:szCs w:val="21"/>
              </w:rPr>
              <w:t>厨房油烟排放口</w:t>
            </w:r>
          </w:p>
        </w:tc>
        <w:tc>
          <w:tcPr>
            <w:tcW w:w="2008" w:type="dxa"/>
            <w:gridSpan w:val="3"/>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kern w:val="0"/>
                <w:sz w:val="21"/>
                <w:szCs w:val="21"/>
              </w:rPr>
            </w:pPr>
            <w:r>
              <w:rPr>
                <w:rFonts w:cs="Times New Roman"/>
                <w:color w:val="auto"/>
                <w:kern w:val="0"/>
                <w:sz w:val="21"/>
                <w:szCs w:val="21"/>
              </w:rPr>
              <w:t>--</w:t>
            </w:r>
          </w:p>
        </w:tc>
        <w:tc>
          <w:tcPr>
            <w:tcW w:w="1192" w:type="dxa"/>
            <w:gridSpan w:val="3"/>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kern w:val="0"/>
                <w:sz w:val="21"/>
                <w:szCs w:val="21"/>
              </w:rPr>
            </w:pPr>
            <w:r>
              <w:rPr>
                <w:rFonts w:cs="Times New Roman"/>
                <w:color w:val="auto"/>
                <w:kern w:val="0"/>
                <w:sz w:val="21"/>
                <w:szCs w:val="21"/>
              </w:rPr>
              <w:t>0.071</w:t>
            </w:r>
          </w:p>
        </w:tc>
        <w:tc>
          <w:tcPr>
            <w:tcW w:w="1210" w:type="dxa"/>
            <w:gridSpan w:val="2"/>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kern w:val="0"/>
                <w:sz w:val="21"/>
                <w:szCs w:val="21"/>
              </w:rPr>
            </w:pPr>
            <w:r>
              <w:rPr>
                <w:rFonts w:cs="Times New Roman"/>
                <w:color w:val="auto"/>
                <w:kern w:val="0"/>
                <w:sz w:val="21"/>
                <w:szCs w:val="21"/>
              </w:rPr>
              <w:t>2</w:t>
            </w:r>
          </w:p>
        </w:tc>
        <w:tc>
          <w:tcPr>
            <w:tcW w:w="1237" w:type="dxa"/>
            <w:gridSpan w:val="3"/>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kern w:val="0"/>
                <w:sz w:val="21"/>
                <w:szCs w:val="21"/>
              </w:rPr>
            </w:pPr>
            <w:r>
              <w:rPr>
                <w:rFonts w:ascii="宋体" w:hAnsi="宋体" w:cs="Times New Roman"/>
                <w:color w:val="auto"/>
                <w:kern w:val="0"/>
                <w:sz w:val="21"/>
                <w:szCs w:val="21"/>
              </w:rPr>
              <w:t>生产高峰期</w:t>
            </w:r>
          </w:p>
        </w:tc>
        <w:tc>
          <w:tcPr>
            <w:tcW w:w="1150" w:type="dxa"/>
            <w:gridSpan w:val="2"/>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kern w:val="0"/>
                <w:sz w:val="21"/>
                <w:szCs w:val="21"/>
              </w:rPr>
            </w:pPr>
            <w:r>
              <w:rPr>
                <w:rFonts w:ascii="宋体" w:hAnsi="宋体" w:cs="Times New Roman"/>
                <w:color w:val="auto"/>
                <w:kern w:val="0"/>
                <w:sz w:val="21"/>
                <w:szCs w:val="21"/>
              </w:rPr>
              <w:t>油烟净化器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72" w:hRule="atLeast"/>
          <w:jc w:val="center"/>
        </w:trPr>
        <w:tc>
          <w:tcPr>
            <w:tcW w:w="8522" w:type="dxa"/>
            <w:gridSpan w:val="14"/>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b/>
                <w:bCs/>
                <w:color w:val="auto"/>
                <w:kern w:val="0"/>
                <w:sz w:val="21"/>
                <w:szCs w:val="21"/>
              </w:rPr>
            </w:pPr>
            <w:r>
              <w:rPr>
                <w:rFonts w:cs="Times New Roman"/>
                <w:b/>
                <w:bCs/>
                <w:color w:val="auto"/>
                <w:kern w:val="0"/>
                <w:sz w:val="21"/>
                <w:szCs w:val="21"/>
              </w:rPr>
              <w:t>2</w:t>
            </w:r>
            <w:r>
              <w:rPr>
                <w:rFonts w:ascii="宋体" w:hAnsi="宋体" w:cs="Times New Roman"/>
                <w:b/>
                <w:bCs/>
                <w:color w:val="auto"/>
                <w:kern w:val="0"/>
                <w:sz w:val="21"/>
                <w:szCs w:val="21"/>
              </w:rPr>
              <w:t>、检测结果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7" w:hRule="atLeast"/>
          <w:jc w:val="center"/>
        </w:trPr>
        <w:tc>
          <w:tcPr>
            <w:tcW w:w="1725" w:type="dxa"/>
            <w:vMerge w:val="restart"/>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b/>
                <w:bCs/>
                <w:color w:val="auto"/>
                <w:kern w:val="0"/>
                <w:sz w:val="21"/>
                <w:szCs w:val="21"/>
              </w:rPr>
            </w:pPr>
            <w:r>
              <w:rPr>
                <w:rFonts w:ascii="宋体" w:hAnsi="宋体" w:cs="Times New Roman"/>
                <w:b/>
                <w:bCs/>
                <w:color w:val="auto"/>
                <w:kern w:val="0"/>
                <w:sz w:val="21"/>
                <w:szCs w:val="21"/>
              </w:rPr>
              <w:t>检测时间</w:t>
            </w:r>
          </w:p>
        </w:tc>
        <w:tc>
          <w:tcPr>
            <w:tcW w:w="619" w:type="dxa"/>
            <w:vMerge w:val="restart"/>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b/>
                <w:bCs/>
                <w:color w:val="auto"/>
                <w:kern w:val="0"/>
                <w:sz w:val="21"/>
                <w:szCs w:val="21"/>
              </w:rPr>
            </w:pPr>
            <w:r>
              <w:rPr>
                <w:rFonts w:ascii="宋体" w:hAnsi="宋体" w:cs="Times New Roman"/>
                <w:b/>
                <w:bCs/>
                <w:color w:val="auto"/>
                <w:kern w:val="0"/>
                <w:sz w:val="21"/>
                <w:szCs w:val="21"/>
              </w:rPr>
              <w:t>检测点位</w:t>
            </w:r>
          </w:p>
        </w:tc>
        <w:tc>
          <w:tcPr>
            <w:tcW w:w="1195" w:type="dxa"/>
            <w:vMerge w:val="restart"/>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b/>
                <w:bCs/>
                <w:color w:val="auto"/>
                <w:kern w:val="0"/>
                <w:sz w:val="21"/>
                <w:szCs w:val="21"/>
              </w:rPr>
            </w:pPr>
            <w:r>
              <w:rPr>
                <w:rFonts w:ascii="宋体" w:hAnsi="宋体" w:cs="Times New Roman"/>
                <w:b/>
                <w:bCs/>
                <w:color w:val="auto"/>
                <w:kern w:val="0"/>
                <w:sz w:val="21"/>
                <w:szCs w:val="21"/>
              </w:rPr>
              <w:t>检测项目</w:t>
            </w:r>
          </w:p>
        </w:tc>
        <w:tc>
          <w:tcPr>
            <w:tcW w:w="3443" w:type="dxa"/>
            <w:gridSpan w:val="8"/>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b/>
                <w:bCs/>
                <w:color w:val="auto"/>
                <w:kern w:val="0"/>
                <w:sz w:val="21"/>
                <w:szCs w:val="21"/>
              </w:rPr>
            </w:pPr>
            <w:r>
              <w:rPr>
                <w:rFonts w:ascii="宋体" w:hAnsi="宋体" w:cs="Times New Roman"/>
                <w:b/>
                <w:bCs/>
                <w:color w:val="auto"/>
                <w:kern w:val="0"/>
                <w:sz w:val="21"/>
                <w:szCs w:val="21"/>
              </w:rPr>
              <w:t>实测次数</w:t>
            </w:r>
          </w:p>
        </w:tc>
        <w:tc>
          <w:tcPr>
            <w:tcW w:w="690" w:type="dxa"/>
            <w:gridSpan w:val="2"/>
            <w:vMerge w:val="restart"/>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b/>
                <w:bCs/>
                <w:color w:val="auto"/>
                <w:kern w:val="0"/>
                <w:sz w:val="21"/>
                <w:szCs w:val="21"/>
              </w:rPr>
            </w:pPr>
            <w:r>
              <w:rPr>
                <w:rFonts w:ascii="宋体" w:hAnsi="宋体" w:cs="Times New Roman"/>
                <w:b/>
                <w:bCs/>
                <w:color w:val="auto"/>
                <w:kern w:val="0"/>
                <w:sz w:val="21"/>
                <w:szCs w:val="21"/>
              </w:rPr>
              <w:t>平均值</w:t>
            </w:r>
          </w:p>
        </w:tc>
        <w:tc>
          <w:tcPr>
            <w:tcW w:w="850" w:type="dxa"/>
            <w:vMerge w:val="restart"/>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b/>
                <w:bCs/>
                <w:color w:val="auto"/>
                <w:kern w:val="0"/>
                <w:sz w:val="21"/>
                <w:szCs w:val="21"/>
              </w:rPr>
            </w:pPr>
            <w:r>
              <w:rPr>
                <w:rFonts w:ascii="宋体" w:hAnsi="宋体" w:cs="Times New Roman"/>
                <w:b/>
                <w:bCs/>
                <w:color w:val="auto"/>
                <w:kern w:val="0"/>
                <w:sz w:val="21"/>
                <w:szCs w:val="21"/>
              </w:rPr>
              <w:t>最高允许排放浓度</w:t>
            </w:r>
            <w:r>
              <w:rPr>
                <w:rFonts w:cs="Times New Roman"/>
                <w:b/>
                <w:bCs/>
                <w:color w:val="auto"/>
                <w:kern w:val="0"/>
                <w:sz w:val="21"/>
                <w:szCs w:val="21"/>
              </w:rPr>
              <w:t>mg/m</w:t>
            </w:r>
            <w:r>
              <w:rPr>
                <w:rFonts w:cs="Times New Roman"/>
                <w:b/>
                <w:bCs/>
                <w:color w:val="auto"/>
                <w:kern w:val="0"/>
                <w:sz w:val="21"/>
                <w:szCs w:val="21"/>
                <w:vertAlign w:val="superscript"/>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5" w:hRule="atLeast"/>
          <w:jc w:val="center"/>
        </w:trPr>
        <w:tc>
          <w:tcPr>
            <w:tcW w:w="1725"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b/>
                <w:bCs/>
                <w:color w:val="auto"/>
                <w:kern w:val="0"/>
                <w:sz w:val="21"/>
                <w:szCs w:val="21"/>
              </w:rPr>
            </w:pPr>
          </w:p>
        </w:tc>
        <w:tc>
          <w:tcPr>
            <w:tcW w:w="619"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b/>
                <w:bCs/>
                <w:color w:val="auto"/>
                <w:kern w:val="0"/>
                <w:sz w:val="21"/>
                <w:szCs w:val="21"/>
              </w:rPr>
            </w:pPr>
          </w:p>
        </w:tc>
        <w:tc>
          <w:tcPr>
            <w:tcW w:w="1195"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b/>
                <w:bCs/>
                <w:color w:val="auto"/>
                <w:kern w:val="0"/>
                <w:sz w:val="21"/>
                <w:szCs w:val="21"/>
              </w:rPr>
            </w:pPr>
          </w:p>
        </w:tc>
        <w:tc>
          <w:tcPr>
            <w:tcW w:w="687" w:type="dxa"/>
            <w:gridSpan w:val="2"/>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b/>
                <w:bCs/>
                <w:color w:val="auto"/>
                <w:kern w:val="0"/>
                <w:sz w:val="21"/>
                <w:szCs w:val="21"/>
              </w:rPr>
            </w:pPr>
            <w:r>
              <w:rPr>
                <w:rFonts w:cs="Times New Roman"/>
                <w:b/>
                <w:bCs/>
                <w:color w:val="auto"/>
                <w:kern w:val="0"/>
                <w:sz w:val="21"/>
                <w:szCs w:val="21"/>
              </w:rPr>
              <w:t>1</w:t>
            </w:r>
          </w:p>
        </w:tc>
        <w:tc>
          <w:tcPr>
            <w:tcW w:w="689"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b/>
                <w:bCs/>
                <w:color w:val="auto"/>
                <w:kern w:val="0"/>
                <w:sz w:val="21"/>
                <w:szCs w:val="21"/>
              </w:rPr>
            </w:pPr>
            <w:r>
              <w:rPr>
                <w:rFonts w:cs="Times New Roman"/>
                <w:b/>
                <w:bCs/>
                <w:color w:val="auto"/>
                <w:kern w:val="0"/>
                <w:sz w:val="21"/>
                <w:szCs w:val="21"/>
              </w:rPr>
              <w:t>2</w:t>
            </w:r>
          </w:p>
        </w:tc>
        <w:tc>
          <w:tcPr>
            <w:tcW w:w="687" w:type="dxa"/>
            <w:gridSpan w:val="2"/>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b/>
                <w:bCs/>
                <w:color w:val="auto"/>
                <w:kern w:val="0"/>
                <w:sz w:val="21"/>
                <w:szCs w:val="21"/>
              </w:rPr>
            </w:pPr>
            <w:r>
              <w:rPr>
                <w:rFonts w:cs="Times New Roman"/>
                <w:b/>
                <w:bCs/>
                <w:color w:val="auto"/>
                <w:kern w:val="0"/>
                <w:sz w:val="21"/>
                <w:szCs w:val="21"/>
              </w:rPr>
              <w:t>3</w:t>
            </w:r>
          </w:p>
        </w:tc>
        <w:tc>
          <w:tcPr>
            <w:tcW w:w="685" w:type="dxa"/>
            <w:gridSpan w:val="2"/>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b/>
                <w:bCs/>
                <w:color w:val="auto"/>
                <w:kern w:val="0"/>
                <w:sz w:val="21"/>
                <w:szCs w:val="21"/>
              </w:rPr>
            </w:pPr>
            <w:r>
              <w:rPr>
                <w:rFonts w:cs="Times New Roman"/>
                <w:b/>
                <w:bCs/>
                <w:color w:val="auto"/>
                <w:kern w:val="0"/>
                <w:sz w:val="21"/>
                <w:szCs w:val="21"/>
              </w:rPr>
              <w:t>4</w:t>
            </w:r>
          </w:p>
        </w:tc>
        <w:tc>
          <w:tcPr>
            <w:tcW w:w="695"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b/>
                <w:bCs/>
                <w:color w:val="auto"/>
                <w:kern w:val="0"/>
                <w:sz w:val="21"/>
                <w:szCs w:val="21"/>
              </w:rPr>
            </w:pPr>
            <w:r>
              <w:rPr>
                <w:rFonts w:cs="Times New Roman"/>
                <w:b/>
                <w:bCs/>
                <w:color w:val="auto"/>
                <w:kern w:val="0"/>
                <w:sz w:val="21"/>
                <w:szCs w:val="21"/>
              </w:rPr>
              <w:t>5</w:t>
            </w:r>
          </w:p>
        </w:tc>
        <w:tc>
          <w:tcPr>
            <w:tcW w:w="690" w:type="dxa"/>
            <w:gridSpan w:val="2"/>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b/>
                <w:bCs/>
                <w:color w:val="auto"/>
                <w:kern w:val="0"/>
                <w:sz w:val="21"/>
                <w:szCs w:val="21"/>
              </w:rPr>
            </w:pPr>
          </w:p>
        </w:tc>
        <w:tc>
          <w:tcPr>
            <w:tcW w:w="850"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b/>
                <w:bCs/>
                <w:color w:val="auto"/>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725" w:type="dxa"/>
            <w:vMerge w:val="restart"/>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kern w:val="0"/>
                <w:sz w:val="21"/>
                <w:szCs w:val="21"/>
              </w:rPr>
            </w:pPr>
            <w:r>
              <w:rPr>
                <w:rFonts w:cs="Times New Roman"/>
                <w:color w:val="auto"/>
                <w:kern w:val="0"/>
                <w:sz w:val="21"/>
                <w:szCs w:val="21"/>
              </w:rPr>
              <w:t>2025.12.10</w:t>
            </w:r>
          </w:p>
        </w:tc>
        <w:tc>
          <w:tcPr>
            <w:tcW w:w="619" w:type="dxa"/>
            <w:vMerge w:val="restart"/>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kern w:val="0"/>
                <w:sz w:val="21"/>
                <w:szCs w:val="21"/>
              </w:rPr>
            </w:pPr>
            <w:r>
              <w:rPr>
                <w:rFonts w:ascii="宋体" w:hAnsi="宋体" w:cs="Times New Roman"/>
                <w:color w:val="auto"/>
                <w:kern w:val="0"/>
                <w:sz w:val="21"/>
                <w:szCs w:val="21"/>
              </w:rPr>
              <w:t>厨房油烟排放口</w:t>
            </w:r>
          </w:p>
        </w:tc>
        <w:tc>
          <w:tcPr>
            <w:tcW w:w="1195"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kern w:val="0"/>
                <w:sz w:val="21"/>
                <w:szCs w:val="21"/>
              </w:rPr>
            </w:pPr>
            <w:r>
              <w:rPr>
                <w:rFonts w:ascii="宋体" w:hAnsi="宋体" w:cs="Times New Roman"/>
                <w:color w:val="auto"/>
                <w:kern w:val="0"/>
                <w:sz w:val="21"/>
                <w:szCs w:val="21"/>
              </w:rPr>
              <w:t>标杆流量（</w:t>
            </w:r>
            <w:r>
              <w:rPr>
                <w:rFonts w:cs="Times New Roman"/>
                <w:color w:val="auto"/>
                <w:kern w:val="0"/>
                <w:sz w:val="21"/>
                <w:szCs w:val="21"/>
              </w:rPr>
              <w:t>m</w:t>
            </w:r>
            <w:r>
              <w:rPr>
                <w:rFonts w:cs="Times New Roman"/>
                <w:color w:val="auto"/>
                <w:kern w:val="0"/>
                <w:sz w:val="21"/>
                <w:szCs w:val="21"/>
                <w:vertAlign w:val="superscript"/>
              </w:rPr>
              <w:t>3</w:t>
            </w:r>
            <w:r>
              <w:rPr>
                <w:rFonts w:cs="Times New Roman"/>
                <w:color w:val="auto"/>
                <w:kern w:val="0"/>
                <w:sz w:val="21"/>
                <w:szCs w:val="21"/>
              </w:rPr>
              <w:t>/h</w:t>
            </w:r>
            <w:r>
              <w:rPr>
                <w:rFonts w:ascii="宋体" w:hAnsi="宋体" w:cs="Times New Roman"/>
                <w:color w:val="auto"/>
                <w:kern w:val="0"/>
                <w:sz w:val="21"/>
                <w:szCs w:val="21"/>
              </w:rPr>
              <w:t>）</w:t>
            </w:r>
          </w:p>
        </w:tc>
        <w:tc>
          <w:tcPr>
            <w:tcW w:w="687" w:type="dxa"/>
            <w:gridSpan w:val="2"/>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kern w:val="0"/>
                <w:sz w:val="21"/>
                <w:szCs w:val="21"/>
              </w:rPr>
            </w:pPr>
            <w:r>
              <w:rPr>
                <w:rFonts w:cs="Times New Roman"/>
                <w:color w:val="auto"/>
                <w:kern w:val="0"/>
                <w:sz w:val="21"/>
                <w:szCs w:val="21"/>
              </w:rPr>
              <w:t>1525</w:t>
            </w:r>
          </w:p>
        </w:tc>
        <w:tc>
          <w:tcPr>
            <w:tcW w:w="689"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kern w:val="0"/>
                <w:sz w:val="21"/>
                <w:szCs w:val="21"/>
              </w:rPr>
            </w:pPr>
            <w:r>
              <w:rPr>
                <w:rFonts w:cs="Times New Roman"/>
                <w:color w:val="auto"/>
                <w:kern w:val="0"/>
                <w:sz w:val="21"/>
                <w:szCs w:val="21"/>
              </w:rPr>
              <w:t>1536</w:t>
            </w:r>
          </w:p>
        </w:tc>
        <w:tc>
          <w:tcPr>
            <w:tcW w:w="687" w:type="dxa"/>
            <w:gridSpan w:val="2"/>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kern w:val="0"/>
                <w:sz w:val="21"/>
                <w:szCs w:val="21"/>
              </w:rPr>
            </w:pPr>
            <w:r>
              <w:rPr>
                <w:rFonts w:cs="Times New Roman"/>
                <w:color w:val="auto"/>
                <w:kern w:val="0"/>
                <w:sz w:val="21"/>
                <w:szCs w:val="21"/>
              </w:rPr>
              <w:t>1587</w:t>
            </w:r>
          </w:p>
        </w:tc>
        <w:tc>
          <w:tcPr>
            <w:tcW w:w="685" w:type="dxa"/>
            <w:gridSpan w:val="2"/>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kern w:val="0"/>
                <w:sz w:val="21"/>
                <w:szCs w:val="21"/>
              </w:rPr>
            </w:pPr>
            <w:r>
              <w:rPr>
                <w:rFonts w:cs="Times New Roman"/>
                <w:color w:val="auto"/>
                <w:kern w:val="0"/>
                <w:sz w:val="21"/>
                <w:szCs w:val="21"/>
              </w:rPr>
              <w:t>1574</w:t>
            </w:r>
          </w:p>
        </w:tc>
        <w:tc>
          <w:tcPr>
            <w:tcW w:w="695"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kern w:val="0"/>
                <w:sz w:val="21"/>
                <w:szCs w:val="21"/>
              </w:rPr>
            </w:pPr>
            <w:r>
              <w:rPr>
                <w:rFonts w:cs="Times New Roman"/>
                <w:color w:val="auto"/>
                <w:kern w:val="0"/>
                <w:sz w:val="21"/>
                <w:szCs w:val="21"/>
              </w:rPr>
              <w:t>1566</w:t>
            </w:r>
          </w:p>
        </w:tc>
        <w:tc>
          <w:tcPr>
            <w:tcW w:w="690" w:type="dxa"/>
            <w:gridSpan w:val="2"/>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1558 </w:t>
            </w:r>
          </w:p>
        </w:tc>
        <w:tc>
          <w:tcPr>
            <w:tcW w:w="850" w:type="dxa"/>
            <w:vMerge w:val="restart"/>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kern w:val="0"/>
                <w:sz w:val="21"/>
                <w:szCs w:val="21"/>
              </w:rPr>
            </w:pPr>
            <w:r>
              <w:rPr>
                <w:rFonts w:cs="Times New Roman"/>
                <w:color w:val="auto"/>
                <w:kern w:val="0"/>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725"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kern w:val="0"/>
                <w:sz w:val="21"/>
                <w:szCs w:val="21"/>
              </w:rPr>
            </w:pPr>
          </w:p>
        </w:tc>
        <w:tc>
          <w:tcPr>
            <w:tcW w:w="61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kern w:val="0"/>
                <w:sz w:val="21"/>
                <w:szCs w:val="21"/>
              </w:rPr>
            </w:pPr>
          </w:p>
        </w:tc>
        <w:tc>
          <w:tcPr>
            <w:tcW w:w="1195"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kern w:val="0"/>
                <w:sz w:val="21"/>
                <w:szCs w:val="21"/>
              </w:rPr>
            </w:pPr>
            <w:r>
              <w:rPr>
                <w:rFonts w:ascii="宋体" w:hAnsi="宋体" w:cs="Times New Roman"/>
                <w:color w:val="auto"/>
                <w:kern w:val="0"/>
                <w:sz w:val="21"/>
                <w:szCs w:val="21"/>
              </w:rPr>
              <w:t>浓度（</w:t>
            </w:r>
            <w:r>
              <w:rPr>
                <w:rFonts w:cs="Times New Roman"/>
                <w:color w:val="auto"/>
                <w:kern w:val="0"/>
                <w:sz w:val="21"/>
                <w:szCs w:val="21"/>
              </w:rPr>
              <w:t>mg/m</w:t>
            </w:r>
            <w:r>
              <w:rPr>
                <w:rFonts w:cs="Times New Roman"/>
                <w:color w:val="auto"/>
                <w:kern w:val="0"/>
                <w:sz w:val="21"/>
                <w:szCs w:val="21"/>
                <w:vertAlign w:val="superscript"/>
              </w:rPr>
              <w:t>3</w:t>
            </w:r>
            <w:r>
              <w:rPr>
                <w:rFonts w:ascii="宋体" w:hAnsi="宋体" w:cs="Times New Roman"/>
                <w:color w:val="auto"/>
                <w:kern w:val="0"/>
                <w:sz w:val="21"/>
                <w:szCs w:val="21"/>
              </w:rPr>
              <w:t>）</w:t>
            </w:r>
          </w:p>
        </w:tc>
        <w:tc>
          <w:tcPr>
            <w:tcW w:w="687" w:type="dxa"/>
            <w:gridSpan w:val="2"/>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3.71</w:t>
            </w:r>
          </w:p>
        </w:tc>
        <w:tc>
          <w:tcPr>
            <w:tcW w:w="689"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3.33</w:t>
            </w:r>
          </w:p>
        </w:tc>
        <w:tc>
          <w:tcPr>
            <w:tcW w:w="687" w:type="dxa"/>
            <w:gridSpan w:val="2"/>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4.16</w:t>
            </w:r>
          </w:p>
        </w:tc>
        <w:tc>
          <w:tcPr>
            <w:tcW w:w="685" w:type="dxa"/>
            <w:gridSpan w:val="2"/>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4.34</w:t>
            </w:r>
          </w:p>
        </w:tc>
        <w:tc>
          <w:tcPr>
            <w:tcW w:w="695"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3.09</w:t>
            </w:r>
          </w:p>
        </w:tc>
        <w:tc>
          <w:tcPr>
            <w:tcW w:w="690" w:type="dxa"/>
            <w:gridSpan w:val="2"/>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3.73 </w:t>
            </w:r>
          </w:p>
        </w:tc>
        <w:tc>
          <w:tcPr>
            <w:tcW w:w="85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725"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kern w:val="0"/>
                <w:sz w:val="21"/>
                <w:szCs w:val="21"/>
              </w:rPr>
            </w:pPr>
          </w:p>
        </w:tc>
        <w:tc>
          <w:tcPr>
            <w:tcW w:w="61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kern w:val="0"/>
                <w:sz w:val="21"/>
                <w:szCs w:val="21"/>
              </w:rPr>
            </w:pPr>
          </w:p>
        </w:tc>
        <w:tc>
          <w:tcPr>
            <w:tcW w:w="1195"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kern w:val="0"/>
                <w:sz w:val="21"/>
                <w:szCs w:val="21"/>
              </w:rPr>
            </w:pPr>
            <w:r>
              <w:rPr>
                <w:rFonts w:ascii="宋体" w:hAnsi="宋体" w:cs="Times New Roman"/>
                <w:color w:val="auto"/>
                <w:kern w:val="0"/>
                <w:sz w:val="21"/>
                <w:szCs w:val="21"/>
              </w:rPr>
              <w:t>基准浓度（</w:t>
            </w:r>
            <w:r>
              <w:rPr>
                <w:rFonts w:cs="Times New Roman"/>
                <w:color w:val="auto"/>
                <w:kern w:val="0"/>
                <w:sz w:val="21"/>
                <w:szCs w:val="21"/>
              </w:rPr>
              <w:t>mg/m</w:t>
            </w:r>
            <w:r>
              <w:rPr>
                <w:rFonts w:cs="Times New Roman"/>
                <w:color w:val="auto"/>
                <w:kern w:val="0"/>
                <w:sz w:val="21"/>
                <w:szCs w:val="21"/>
                <w:vertAlign w:val="superscript"/>
              </w:rPr>
              <w:t>3</w:t>
            </w:r>
            <w:r>
              <w:rPr>
                <w:rFonts w:ascii="宋体" w:hAnsi="宋体" w:cs="Times New Roman"/>
                <w:color w:val="auto"/>
                <w:kern w:val="0"/>
                <w:sz w:val="21"/>
                <w:szCs w:val="21"/>
              </w:rPr>
              <w:t>）</w:t>
            </w:r>
          </w:p>
        </w:tc>
        <w:tc>
          <w:tcPr>
            <w:tcW w:w="687" w:type="dxa"/>
            <w:gridSpan w:val="2"/>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1.41 </w:t>
            </w:r>
          </w:p>
        </w:tc>
        <w:tc>
          <w:tcPr>
            <w:tcW w:w="689"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1.28 </w:t>
            </w:r>
          </w:p>
        </w:tc>
        <w:tc>
          <w:tcPr>
            <w:tcW w:w="687" w:type="dxa"/>
            <w:gridSpan w:val="2"/>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1.65 </w:t>
            </w:r>
          </w:p>
        </w:tc>
        <w:tc>
          <w:tcPr>
            <w:tcW w:w="685" w:type="dxa"/>
            <w:gridSpan w:val="2"/>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1.71 </w:t>
            </w:r>
          </w:p>
        </w:tc>
        <w:tc>
          <w:tcPr>
            <w:tcW w:w="695"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1.21 </w:t>
            </w:r>
          </w:p>
        </w:tc>
        <w:tc>
          <w:tcPr>
            <w:tcW w:w="690" w:type="dxa"/>
            <w:gridSpan w:val="2"/>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1.45 </w:t>
            </w:r>
          </w:p>
        </w:tc>
        <w:tc>
          <w:tcPr>
            <w:tcW w:w="850"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kern w:val="0"/>
                <w:sz w:val="21"/>
                <w:szCs w:val="21"/>
              </w:rPr>
            </w:pPr>
            <w:r>
              <w:rPr>
                <w:rFonts w:cs="Times New Roman"/>
                <w:color w:val="auto"/>
                <w:kern w:val="0"/>
                <w:sz w:val="21"/>
                <w:szCs w:val="21"/>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725" w:type="dxa"/>
            <w:vMerge w:val="restart"/>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kern w:val="0"/>
                <w:sz w:val="21"/>
                <w:szCs w:val="21"/>
              </w:rPr>
            </w:pPr>
            <w:r>
              <w:rPr>
                <w:rFonts w:cs="Times New Roman"/>
                <w:color w:val="auto"/>
                <w:kern w:val="0"/>
                <w:sz w:val="21"/>
                <w:szCs w:val="21"/>
              </w:rPr>
              <w:t>2025.12.11</w:t>
            </w:r>
          </w:p>
        </w:tc>
        <w:tc>
          <w:tcPr>
            <w:tcW w:w="619" w:type="dxa"/>
            <w:vMerge w:val="restart"/>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kern w:val="0"/>
                <w:sz w:val="21"/>
                <w:szCs w:val="21"/>
              </w:rPr>
            </w:pPr>
            <w:r>
              <w:rPr>
                <w:rFonts w:ascii="宋体" w:hAnsi="宋体" w:cs="Times New Roman"/>
                <w:color w:val="auto"/>
                <w:kern w:val="0"/>
                <w:sz w:val="21"/>
                <w:szCs w:val="21"/>
              </w:rPr>
              <w:t>厨房油烟排放口</w:t>
            </w:r>
          </w:p>
        </w:tc>
        <w:tc>
          <w:tcPr>
            <w:tcW w:w="1195"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kern w:val="0"/>
                <w:sz w:val="21"/>
                <w:szCs w:val="21"/>
              </w:rPr>
            </w:pPr>
            <w:r>
              <w:rPr>
                <w:rFonts w:ascii="宋体" w:hAnsi="宋体" w:cs="Times New Roman"/>
                <w:color w:val="auto"/>
                <w:kern w:val="0"/>
                <w:sz w:val="21"/>
                <w:szCs w:val="21"/>
              </w:rPr>
              <w:t>标杆流量（</w:t>
            </w:r>
            <w:r>
              <w:rPr>
                <w:rFonts w:cs="Times New Roman"/>
                <w:color w:val="auto"/>
                <w:kern w:val="0"/>
                <w:sz w:val="21"/>
                <w:szCs w:val="21"/>
              </w:rPr>
              <w:t>m</w:t>
            </w:r>
            <w:r>
              <w:rPr>
                <w:rFonts w:cs="Times New Roman"/>
                <w:color w:val="auto"/>
                <w:kern w:val="0"/>
                <w:sz w:val="21"/>
                <w:szCs w:val="21"/>
                <w:vertAlign w:val="superscript"/>
              </w:rPr>
              <w:t>3</w:t>
            </w:r>
            <w:r>
              <w:rPr>
                <w:rFonts w:cs="Times New Roman"/>
                <w:color w:val="auto"/>
                <w:kern w:val="0"/>
                <w:sz w:val="21"/>
                <w:szCs w:val="21"/>
              </w:rPr>
              <w:t>/h</w:t>
            </w:r>
            <w:r>
              <w:rPr>
                <w:rFonts w:ascii="宋体" w:hAnsi="宋体" w:cs="Times New Roman"/>
                <w:color w:val="auto"/>
                <w:kern w:val="0"/>
                <w:sz w:val="21"/>
                <w:szCs w:val="21"/>
              </w:rPr>
              <w:t>）</w:t>
            </w:r>
          </w:p>
        </w:tc>
        <w:tc>
          <w:tcPr>
            <w:tcW w:w="687" w:type="dxa"/>
            <w:gridSpan w:val="2"/>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kern w:val="0"/>
                <w:sz w:val="21"/>
                <w:szCs w:val="21"/>
              </w:rPr>
            </w:pPr>
            <w:r>
              <w:rPr>
                <w:rFonts w:cs="Times New Roman"/>
                <w:color w:val="auto"/>
                <w:kern w:val="0"/>
                <w:sz w:val="21"/>
                <w:szCs w:val="21"/>
              </w:rPr>
              <w:t>1552</w:t>
            </w:r>
          </w:p>
        </w:tc>
        <w:tc>
          <w:tcPr>
            <w:tcW w:w="689"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kern w:val="0"/>
                <w:sz w:val="21"/>
                <w:szCs w:val="21"/>
              </w:rPr>
            </w:pPr>
            <w:r>
              <w:rPr>
                <w:rFonts w:cs="Times New Roman"/>
                <w:color w:val="auto"/>
                <w:kern w:val="0"/>
                <w:sz w:val="21"/>
                <w:szCs w:val="21"/>
              </w:rPr>
              <w:t>1575</w:t>
            </w:r>
          </w:p>
        </w:tc>
        <w:tc>
          <w:tcPr>
            <w:tcW w:w="687" w:type="dxa"/>
            <w:gridSpan w:val="2"/>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sz w:val="21"/>
                <w:szCs w:val="21"/>
              </w:rPr>
            </w:pPr>
            <w:r>
              <w:rPr>
                <w:rFonts w:cs="Times New Roman"/>
                <w:color w:val="auto"/>
                <w:kern w:val="0"/>
                <w:sz w:val="21"/>
                <w:szCs w:val="21"/>
              </w:rPr>
              <w:t>1537</w:t>
            </w:r>
          </w:p>
        </w:tc>
        <w:tc>
          <w:tcPr>
            <w:tcW w:w="685" w:type="dxa"/>
            <w:gridSpan w:val="2"/>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kern w:val="0"/>
                <w:sz w:val="21"/>
                <w:szCs w:val="21"/>
              </w:rPr>
            </w:pPr>
            <w:r>
              <w:rPr>
                <w:rFonts w:cs="Times New Roman"/>
                <w:color w:val="auto"/>
                <w:kern w:val="0"/>
                <w:sz w:val="21"/>
                <w:szCs w:val="21"/>
              </w:rPr>
              <w:t>1528</w:t>
            </w:r>
          </w:p>
        </w:tc>
        <w:tc>
          <w:tcPr>
            <w:tcW w:w="695"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kern w:val="0"/>
                <w:sz w:val="21"/>
                <w:szCs w:val="21"/>
              </w:rPr>
            </w:pPr>
            <w:r>
              <w:rPr>
                <w:rFonts w:cs="Times New Roman"/>
                <w:color w:val="auto"/>
                <w:kern w:val="0"/>
                <w:sz w:val="21"/>
                <w:szCs w:val="21"/>
              </w:rPr>
              <w:t>1561</w:t>
            </w:r>
          </w:p>
        </w:tc>
        <w:tc>
          <w:tcPr>
            <w:tcW w:w="690" w:type="dxa"/>
            <w:gridSpan w:val="2"/>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1551 </w:t>
            </w:r>
          </w:p>
        </w:tc>
        <w:tc>
          <w:tcPr>
            <w:tcW w:w="850" w:type="dxa"/>
            <w:vMerge w:val="restart"/>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kern w:val="0"/>
                <w:sz w:val="21"/>
                <w:szCs w:val="21"/>
              </w:rPr>
            </w:pPr>
            <w:r>
              <w:rPr>
                <w:rFonts w:cs="Times New Roman"/>
                <w:color w:val="auto"/>
                <w:kern w:val="0"/>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725"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kern w:val="0"/>
                <w:sz w:val="21"/>
                <w:szCs w:val="21"/>
              </w:rPr>
            </w:pPr>
          </w:p>
        </w:tc>
        <w:tc>
          <w:tcPr>
            <w:tcW w:w="61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kern w:val="0"/>
                <w:sz w:val="21"/>
                <w:szCs w:val="21"/>
              </w:rPr>
            </w:pPr>
          </w:p>
        </w:tc>
        <w:tc>
          <w:tcPr>
            <w:tcW w:w="1195"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kern w:val="0"/>
                <w:sz w:val="21"/>
                <w:szCs w:val="21"/>
              </w:rPr>
            </w:pPr>
            <w:r>
              <w:rPr>
                <w:rFonts w:ascii="宋体" w:hAnsi="宋体" w:cs="Times New Roman"/>
                <w:color w:val="auto"/>
                <w:kern w:val="0"/>
                <w:sz w:val="21"/>
                <w:szCs w:val="21"/>
              </w:rPr>
              <w:t>浓度（</w:t>
            </w:r>
            <w:r>
              <w:rPr>
                <w:rFonts w:cs="Times New Roman"/>
                <w:color w:val="auto"/>
                <w:kern w:val="0"/>
                <w:sz w:val="21"/>
                <w:szCs w:val="21"/>
              </w:rPr>
              <w:t>mg/m</w:t>
            </w:r>
            <w:r>
              <w:rPr>
                <w:rFonts w:cs="Times New Roman"/>
                <w:color w:val="auto"/>
                <w:kern w:val="0"/>
                <w:sz w:val="21"/>
                <w:szCs w:val="21"/>
                <w:vertAlign w:val="superscript"/>
              </w:rPr>
              <w:t>3</w:t>
            </w:r>
            <w:r>
              <w:rPr>
                <w:rFonts w:ascii="宋体" w:hAnsi="宋体" w:cs="Times New Roman"/>
                <w:color w:val="auto"/>
                <w:kern w:val="0"/>
                <w:sz w:val="21"/>
                <w:szCs w:val="21"/>
              </w:rPr>
              <w:t>）</w:t>
            </w:r>
          </w:p>
        </w:tc>
        <w:tc>
          <w:tcPr>
            <w:tcW w:w="687" w:type="dxa"/>
            <w:gridSpan w:val="2"/>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kern w:val="0"/>
                <w:sz w:val="21"/>
                <w:szCs w:val="21"/>
              </w:rPr>
            </w:pPr>
            <w:r>
              <w:rPr>
                <w:rFonts w:cs="Times New Roman"/>
                <w:color w:val="auto"/>
                <w:kern w:val="0"/>
                <w:sz w:val="21"/>
                <w:szCs w:val="21"/>
              </w:rPr>
              <w:t>3.52</w:t>
            </w:r>
          </w:p>
        </w:tc>
        <w:tc>
          <w:tcPr>
            <w:tcW w:w="689"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kern w:val="0"/>
                <w:sz w:val="21"/>
                <w:szCs w:val="21"/>
              </w:rPr>
            </w:pPr>
            <w:r>
              <w:rPr>
                <w:rFonts w:cs="Times New Roman"/>
                <w:color w:val="auto"/>
                <w:kern w:val="0"/>
                <w:sz w:val="21"/>
                <w:szCs w:val="21"/>
              </w:rPr>
              <w:t>4.05</w:t>
            </w:r>
          </w:p>
        </w:tc>
        <w:tc>
          <w:tcPr>
            <w:tcW w:w="687" w:type="dxa"/>
            <w:gridSpan w:val="2"/>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kern w:val="0"/>
                <w:sz w:val="21"/>
                <w:szCs w:val="21"/>
              </w:rPr>
            </w:pPr>
            <w:r>
              <w:rPr>
                <w:rFonts w:cs="Times New Roman"/>
                <w:color w:val="auto"/>
                <w:kern w:val="0"/>
                <w:sz w:val="21"/>
                <w:szCs w:val="21"/>
              </w:rPr>
              <w:t>3.87</w:t>
            </w:r>
          </w:p>
        </w:tc>
        <w:tc>
          <w:tcPr>
            <w:tcW w:w="685" w:type="dxa"/>
            <w:gridSpan w:val="2"/>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kern w:val="0"/>
                <w:sz w:val="21"/>
                <w:szCs w:val="21"/>
              </w:rPr>
            </w:pPr>
            <w:r>
              <w:rPr>
                <w:rFonts w:cs="Times New Roman"/>
                <w:color w:val="auto"/>
                <w:kern w:val="0"/>
                <w:sz w:val="21"/>
                <w:szCs w:val="21"/>
              </w:rPr>
              <w:t>4.26</w:t>
            </w:r>
          </w:p>
        </w:tc>
        <w:tc>
          <w:tcPr>
            <w:tcW w:w="695"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kern w:val="0"/>
                <w:sz w:val="21"/>
                <w:szCs w:val="21"/>
              </w:rPr>
            </w:pPr>
            <w:r>
              <w:rPr>
                <w:rFonts w:cs="Times New Roman"/>
                <w:color w:val="auto"/>
                <w:kern w:val="0"/>
                <w:sz w:val="21"/>
                <w:szCs w:val="21"/>
              </w:rPr>
              <w:t>3.79</w:t>
            </w:r>
          </w:p>
        </w:tc>
        <w:tc>
          <w:tcPr>
            <w:tcW w:w="690" w:type="dxa"/>
            <w:gridSpan w:val="2"/>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3.90 </w:t>
            </w:r>
          </w:p>
        </w:tc>
        <w:tc>
          <w:tcPr>
            <w:tcW w:w="850"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725"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kern w:val="0"/>
                <w:sz w:val="21"/>
                <w:szCs w:val="21"/>
              </w:rPr>
            </w:pPr>
          </w:p>
        </w:tc>
        <w:tc>
          <w:tcPr>
            <w:tcW w:w="619"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kern w:val="0"/>
                <w:sz w:val="21"/>
                <w:szCs w:val="21"/>
              </w:rPr>
            </w:pPr>
          </w:p>
        </w:tc>
        <w:tc>
          <w:tcPr>
            <w:tcW w:w="1195"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kern w:val="0"/>
                <w:sz w:val="21"/>
                <w:szCs w:val="21"/>
              </w:rPr>
            </w:pPr>
            <w:r>
              <w:rPr>
                <w:rFonts w:ascii="宋体" w:hAnsi="宋体" w:cs="Times New Roman"/>
                <w:color w:val="auto"/>
                <w:kern w:val="0"/>
                <w:sz w:val="21"/>
                <w:szCs w:val="21"/>
              </w:rPr>
              <w:t>基准浓度（</w:t>
            </w:r>
            <w:r>
              <w:rPr>
                <w:rFonts w:cs="Times New Roman"/>
                <w:color w:val="auto"/>
                <w:kern w:val="0"/>
                <w:sz w:val="21"/>
                <w:szCs w:val="21"/>
              </w:rPr>
              <w:t>mg/m</w:t>
            </w:r>
            <w:r>
              <w:rPr>
                <w:rFonts w:cs="Times New Roman"/>
                <w:color w:val="auto"/>
                <w:kern w:val="0"/>
                <w:sz w:val="21"/>
                <w:szCs w:val="21"/>
                <w:vertAlign w:val="superscript"/>
              </w:rPr>
              <w:t>3</w:t>
            </w:r>
            <w:r>
              <w:rPr>
                <w:rFonts w:ascii="宋体" w:hAnsi="宋体" w:cs="Times New Roman"/>
                <w:color w:val="auto"/>
                <w:kern w:val="0"/>
                <w:sz w:val="21"/>
                <w:szCs w:val="21"/>
              </w:rPr>
              <w:t>）</w:t>
            </w:r>
          </w:p>
        </w:tc>
        <w:tc>
          <w:tcPr>
            <w:tcW w:w="687" w:type="dxa"/>
            <w:gridSpan w:val="2"/>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1.37 </w:t>
            </w:r>
          </w:p>
        </w:tc>
        <w:tc>
          <w:tcPr>
            <w:tcW w:w="689"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1.59 </w:t>
            </w:r>
          </w:p>
        </w:tc>
        <w:tc>
          <w:tcPr>
            <w:tcW w:w="687" w:type="dxa"/>
            <w:gridSpan w:val="2"/>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1.49 </w:t>
            </w:r>
          </w:p>
        </w:tc>
        <w:tc>
          <w:tcPr>
            <w:tcW w:w="685" w:type="dxa"/>
            <w:gridSpan w:val="2"/>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1.63 </w:t>
            </w:r>
          </w:p>
        </w:tc>
        <w:tc>
          <w:tcPr>
            <w:tcW w:w="695"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1.48 </w:t>
            </w:r>
          </w:p>
        </w:tc>
        <w:tc>
          <w:tcPr>
            <w:tcW w:w="690" w:type="dxa"/>
            <w:gridSpan w:val="2"/>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kern w:val="0"/>
                <w:sz w:val="21"/>
                <w:szCs w:val="21"/>
              </w:rPr>
              <w:t xml:space="preserve">1.51 </w:t>
            </w:r>
          </w:p>
        </w:tc>
        <w:tc>
          <w:tcPr>
            <w:tcW w:w="850"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kern w:val="0"/>
                <w:sz w:val="21"/>
                <w:szCs w:val="21"/>
              </w:rPr>
            </w:pPr>
            <w:r>
              <w:rPr>
                <w:rFonts w:cs="Times New Roman"/>
                <w:color w:val="auto"/>
                <w:kern w:val="0"/>
                <w:sz w:val="21"/>
                <w:szCs w:val="21"/>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71" w:hRule="atLeast"/>
          <w:jc w:val="center"/>
        </w:trPr>
        <w:tc>
          <w:tcPr>
            <w:tcW w:w="8522" w:type="dxa"/>
            <w:gridSpan w:val="14"/>
            <w:tcBorders>
              <w:top w:val="single" w:color="auto" w:sz="4" w:space="0"/>
              <w:left w:val="single" w:color="auto" w:sz="4" w:space="0"/>
              <w:bottom w:val="single" w:color="auto" w:sz="4" w:space="0"/>
              <w:right w:val="single" w:color="auto" w:sz="4" w:space="0"/>
            </w:tcBorders>
            <w:vAlign w:val="center"/>
          </w:tcPr>
          <w:p>
            <w:pPr>
              <w:spacing w:line="240" w:lineRule="auto"/>
              <w:ind w:left="1050" w:hanging="1050" w:hangingChars="500"/>
              <w:rPr>
                <w:rFonts w:cs="Times New Roman"/>
                <w:color w:val="auto"/>
                <w:sz w:val="21"/>
                <w:szCs w:val="21"/>
              </w:rPr>
            </w:pPr>
            <w:r>
              <w:rPr>
                <w:rFonts w:ascii="宋体" w:hAnsi="宋体" w:cs="Times New Roman"/>
                <w:color w:val="auto"/>
                <w:sz w:val="21"/>
                <w:szCs w:val="21"/>
              </w:rPr>
              <w:t>备注：</w:t>
            </w:r>
            <w:r>
              <w:rPr>
                <w:rFonts w:cs="Times New Roman"/>
                <w:color w:val="auto"/>
                <w:sz w:val="21"/>
                <w:szCs w:val="21"/>
              </w:rPr>
              <w:t>1</w:t>
            </w:r>
            <w:r>
              <w:rPr>
                <w:rFonts w:ascii="宋体" w:hAnsi="宋体" w:cs="Times New Roman"/>
                <w:color w:val="auto"/>
                <w:sz w:val="21"/>
                <w:szCs w:val="21"/>
              </w:rPr>
              <w:t>、项目执行《饮食业油烟排放标准（试行）》（</w:t>
            </w:r>
            <w:r>
              <w:rPr>
                <w:rFonts w:cs="Times New Roman"/>
                <w:color w:val="auto"/>
                <w:sz w:val="21"/>
                <w:szCs w:val="21"/>
              </w:rPr>
              <w:t>GB18483-2001</w:t>
            </w:r>
            <w:r>
              <w:rPr>
                <w:rFonts w:ascii="宋体" w:hAnsi="宋体" w:cs="Times New Roman"/>
                <w:color w:val="auto"/>
                <w:sz w:val="21"/>
                <w:szCs w:val="21"/>
              </w:rPr>
              <w:t>）的小型标准；</w:t>
            </w:r>
          </w:p>
          <w:p>
            <w:pPr>
              <w:spacing w:line="240" w:lineRule="auto"/>
              <w:ind w:firstLine="630" w:firstLineChars="300"/>
              <w:rPr>
                <w:rFonts w:cs="Times New Roman"/>
                <w:color w:val="auto"/>
                <w:sz w:val="21"/>
                <w:szCs w:val="21"/>
              </w:rPr>
            </w:pPr>
            <w:r>
              <w:rPr>
                <w:rFonts w:cs="Times New Roman"/>
                <w:color w:val="auto"/>
                <w:sz w:val="21"/>
                <w:szCs w:val="21"/>
              </w:rPr>
              <w:t>2</w:t>
            </w:r>
            <w:r>
              <w:rPr>
                <w:rFonts w:ascii="宋体" w:hAnsi="宋体" w:cs="Times New Roman"/>
                <w:color w:val="auto"/>
                <w:sz w:val="21"/>
                <w:szCs w:val="21"/>
              </w:rPr>
              <w:t>、本结果只对当时采集的样品负责。</w:t>
            </w:r>
          </w:p>
        </w:tc>
      </w:tr>
    </w:tbl>
    <w:p>
      <w:pPr>
        <w:pStyle w:val="37"/>
        <w:rPr>
          <w:color w:val="auto"/>
        </w:rPr>
      </w:pPr>
    </w:p>
    <w:p>
      <w:pPr>
        <w:spacing w:line="100" w:lineRule="exact"/>
        <w:ind w:firstLine="0" w:firstLineChars="0"/>
        <w:rPr>
          <w:color w:val="auto"/>
          <w:sz w:val="2"/>
          <w:szCs w:val="2"/>
          <w:highlight w:val="yellow"/>
        </w:rPr>
      </w:pPr>
    </w:p>
    <w:p>
      <w:pPr>
        <w:ind w:firstLine="480"/>
        <w:rPr>
          <w:color w:val="auto"/>
        </w:rPr>
      </w:pPr>
      <w:bookmarkStart w:id="103" w:name="_Hlk214916047"/>
      <w:r>
        <w:rPr>
          <w:rFonts w:hint="eastAsia"/>
          <w:color w:val="auto"/>
        </w:rPr>
        <w:t>上表9</w:t>
      </w:r>
      <w:r>
        <w:rPr>
          <w:color w:val="auto"/>
        </w:rPr>
        <w:t>.</w:t>
      </w:r>
      <w:r>
        <w:rPr>
          <w:rFonts w:hint="eastAsia"/>
          <w:color w:val="auto"/>
        </w:rPr>
        <w:t>1-3监测结果表明：喷粉固化废气、喷漆废气（喷漆房1）、烘干废气（烤漆炉1）、调漆废气、液化石油气燃烧废气（烤漆炉1和固化炉）、危废间废气排放口（DA001）的总VOCs</w:t>
      </w:r>
      <w:bookmarkStart w:id="104" w:name="OLE_LINK39"/>
      <w:r>
        <w:rPr>
          <w:rFonts w:hint="eastAsia"/>
          <w:color w:val="auto"/>
        </w:rPr>
        <w:t>的排放浓度：1.02</w:t>
      </w:r>
      <w:r>
        <w:rPr>
          <w:color w:val="auto"/>
        </w:rPr>
        <w:t>~</w:t>
      </w:r>
      <w:r>
        <w:rPr>
          <w:rFonts w:hint="eastAsia"/>
          <w:color w:val="auto"/>
        </w:rPr>
        <w:t>1.51</w:t>
      </w:r>
      <w:r>
        <w:rPr>
          <w:color w:val="auto"/>
        </w:rPr>
        <w:t>mg/m</w:t>
      </w:r>
      <w:r>
        <w:rPr>
          <w:color w:val="auto"/>
          <w:vertAlign w:val="superscript"/>
        </w:rPr>
        <w:t>3</w:t>
      </w:r>
      <w:r>
        <w:rPr>
          <w:rFonts w:hint="eastAsia"/>
          <w:color w:val="auto"/>
        </w:rPr>
        <w:t>，排放速率：</w:t>
      </w:r>
      <w:r>
        <w:rPr>
          <w:color w:val="auto"/>
        </w:rPr>
        <w:t>0.02kg/h</w:t>
      </w:r>
      <w:r>
        <w:rPr>
          <w:rFonts w:hint="eastAsia"/>
          <w:color w:val="auto"/>
        </w:rPr>
        <w:t>~0.030</w:t>
      </w:r>
      <w:r>
        <w:rPr>
          <w:color w:val="auto"/>
        </w:rPr>
        <w:t xml:space="preserve"> kg/h</w:t>
      </w:r>
      <w:r>
        <w:rPr>
          <w:rFonts w:hint="eastAsia"/>
          <w:color w:val="auto"/>
        </w:rPr>
        <w:t>；</w:t>
      </w:r>
      <w:bookmarkEnd w:id="104"/>
      <w:r>
        <w:rPr>
          <w:rFonts w:hint="eastAsia"/>
          <w:color w:val="auto"/>
        </w:rPr>
        <w:t>二甲苯：未检出；</w:t>
      </w:r>
      <w:bookmarkStart w:id="105" w:name="_Hlk214912153"/>
      <w:bookmarkStart w:id="106" w:name="OLE_LINK38"/>
      <w:r>
        <w:rPr>
          <w:rFonts w:hint="eastAsia"/>
          <w:color w:val="auto"/>
        </w:rPr>
        <w:t>颗粒物排放浓度：20.5~21.7mg/m</w:t>
      </w:r>
      <w:r>
        <w:rPr>
          <w:rFonts w:hint="eastAsia"/>
          <w:color w:val="auto"/>
          <w:vertAlign w:val="superscript"/>
        </w:rPr>
        <w:t>3</w:t>
      </w:r>
      <w:r>
        <w:rPr>
          <w:rFonts w:hint="eastAsia"/>
          <w:color w:val="auto"/>
        </w:rPr>
        <w:t>，排放速率：0.41~0.44kg/h；</w:t>
      </w:r>
      <w:bookmarkEnd w:id="105"/>
      <w:bookmarkEnd w:id="106"/>
      <w:r>
        <w:rPr>
          <w:rFonts w:hint="eastAsia"/>
          <w:color w:val="auto"/>
        </w:rPr>
        <w:t>二氧化硫：未检出；氮氧化物：未检出；臭气浓度：733~1738（无量纲）。</w:t>
      </w:r>
    </w:p>
    <w:p>
      <w:pPr>
        <w:ind w:firstLine="480"/>
        <w:rPr>
          <w:color w:val="auto"/>
        </w:rPr>
      </w:pPr>
      <w:r>
        <w:rPr>
          <w:rFonts w:ascii="宋体" w:hAnsi="宋体"/>
          <w:color w:val="auto"/>
        </w:rPr>
        <w:t>胶合有机废气、清抹有机废气、喷漆废气（喷漆房</w:t>
      </w:r>
      <w:r>
        <w:rPr>
          <w:color w:val="auto"/>
        </w:rPr>
        <w:t>2</w:t>
      </w:r>
      <w:r>
        <w:rPr>
          <w:rFonts w:ascii="宋体" w:hAnsi="宋体"/>
          <w:color w:val="auto"/>
        </w:rPr>
        <w:t>）、烘干废气（烤漆炉</w:t>
      </w:r>
      <w:r>
        <w:rPr>
          <w:color w:val="auto"/>
        </w:rPr>
        <w:t>2</w:t>
      </w:r>
      <w:r>
        <w:rPr>
          <w:rFonts w:ascii="宋体" w:hAnsi="宋体"/>
          <w:color w:val="auto"/>
        </w:rPr>
        <w:t>）、液化石油气燃烧废气（烤漆炉</w:t>
      </w:r>
      <w:r>
        <w:rPr>
          <w:color w:val="auto"/>
        </w:rPr>
        <w:t>2</w:t>
      </w:r>
      <w:r>
        <w:rPr>
          <w:rFonts w:ascii="宋体" w:hAnsi="宋体"/>
          <w:color w:val="auto"/>
        </w:rPr>
        <w:t>）废气排放口（</w:t>
      </w:r>
      <w:r>
        <w:rPr>
          <w:color w:val="auto"/>
        </w:rPr>
        <w:t>DA002</w:t>
      </w:r>
      <w:r>
        <w:rPr>
          <w:rFonts w:ascii="宋体" w:hAnsi="宋体"/>
          <w:color w:val="auto"/>
        </w:rPr>
        <w:t>）</w:t>
      </w:r>
      <w:r>
        <w:rPr>
          <w:rFonts w:hint="eastAsia"/>
          <w:color w:val="auto"/>
        </w:rPr>
        <w:t>总VOCs的排放浓度：1.08</w:t>
      </w:r>
      <w:r>
        <w:rPr>
          <w:color w:val="auto"/>
        </w:rPr>
        <w:t>~</w:t>
      </w:r>
      <w:r>
        <w:rPr>
          <w:rFonts w:hint="eastAsia"/>
          <w:color w:val="auto"/>
        </w:rPr>
        <w:t>1.33</w:t>
      </w:r>
      <w:r>
        <w:rPr>
          <w:color w:val="auto"/>
        </w:rPr>
        <w:t>mg/m</w:t>
      </w:r>
      <w:r>
        <w:rPr>
          <w:color w:val="auto"/>
          <w:vertAlign w:val="superscript"/>
        </w:rPr>
        <w:t>3</w:t>
      </w:r>
      <w:r>
        <w:rPr>
          <w:rFonts w:hint="eastAsia"/>
          <w:color w:val="auto"/>
        </w:rPr>
        <w:t>，排放速率：</w:t>
      </w:r>
      <w:r>
        <w:rPr>
          <w:color w:val="auto"/>
        </w:rPr>
        <w:t>0.02</w:t>
      </w:r>
      <w:r>
        <w:rPr>
          <w:rFonts w:hint="eastAsia"/>
          <w:color w:val="auto"/>
        </w:rPr>
        <w:t>2</w:t>
      </w:r>
      <w:r>
        <w:rPr>
          <w:color w:val="auto"/>
        </w:rPr>
        <w:t>kg/h</w:t>
      </w:r>
      <w:r>
        <w:rPr>
          <w:rFonts w:hint="eastAsia"/>
          <w:color w:val="auto"/>
        </w:rPr>
        <w:t>~0.027</w:t>
      </w:r>
      <w:r>
        <w:rPr>
          <w:color w:val="auto"/>
        </w:rPr>
        <w:t xml:space="preserve"> kg/h</w:t>
      </w:r>
      <w:r>
        <w:rPr>
          <w:rFonts w:hint="eastAsia"/>
          <w:color w:val="auto"/>
        </w:rPr>
        <w:t>；二甲苯：未检出；颗粒物排放浓度：20.9~22.7mg/m</w:t>
      </w:r>
      <w:r>
        <w:rPr>
          <w:rFonts w:hint="eastAsia"/>
          <w:color w:val="auto"/>
          <w:vertAlign w:val="superscript"/>
        </w:rPr>
        <w:t>3</w:t>
      </w:r>
      <w:r>
        <w:rPr>
          <w:rFonts w:hint="eastAsia"/>
          <w:color w:val="auto"/>
        </w:rPr>
        <w:t>，排放速率：0.41~0.46kg/h；二氧化硫：未检出；氮氧化物：未检出；臭气浓度：846~1738（无量纲）。</w:t>
      </w:r>
      <w:r>
        <w:rPr>
          <w:rFonts w:cs="Times New Roman"/>
          <w:color w:val="auto"/>
          <w:szCs w:val="24"/>
        </w:rPr>
        <w:t>厨房油烟排放口DA005基准浓度：1.21~1.71</w:t>
      </w:r>
      <w:r>
        <w:rPr>
          <w:rFonts w:cs="Times New Roman"/>
          <w:color w:val="auto"/>
        </w:rPr>
        <w:t xml:space="preserve"> mg/m</w:t>
      </w:r>
      <w:r>
        <w:rPr>
          <w:rFonts w:cs="Times New Roman"/>
          <w:color w:val="auto"/>
          <w:vertAlign w:val="superscript"/>
        </w:rPr>
        <w:t>3</w:t>
      </w:r>
      <w:r>
        <w:rPr>
          <w:rFonts w:cs="Times New Roman"/>
          <w:color w:val="auto"/>
        </w:rPr>
        <w:t>。</w:t>
      </w:r>
    </w:p>
    <w:p>
      <w:pPr>
        <w:ind w:firstLine="480"/>
        <w:rPr>
          <w:rFonts w:cs="Times New Roman"/>
          <w:color w:val="auto"/>
        </w:rPr>
      </w:pPr>
      <w:r>
        <w:rPr>
          <w:rFonts w:cs="Times New Roman"/>
          <w:color w:val="auto"/>
        </w:rPr>
        <w:t>监测结果表明：本项目DA001、DA002的</w:t>
      </w:r>
      <w:r>
        <w:rPr>
          <w:rFonts w:cs="Times New Roman"/>
          <w:color w:val="auto"/>
          <w:kern w:val="0"/>
        </w:rPr>
        <w:t>总VOCs、二甲苯</w:t>
      </w:r>
      <w:r>
        <w:rPr>
          <w:rFonts w:cs="Times New Roman"/>
          <w:color w:val="auto"/>
        </w:rPr>
        <w:t>执行广东省《固定污染源挥发性有机物综合排放标准》（DB44/ 2367—2022）表1中有机废气的最高允许浓度限值；颗粒物执行《关于印发〈工业炉窑大气污染综合治理方案〉的通知》（环大气〔2019〕56号）重点区域排放限值和广东省《大气污染物排放限值》（DB44/27-2001）第二时段二级标准（排放速率按50%执行）的较严值；二氧化硫、氮氧化物执行《关于印发〈工业炉窑大气污染综合治理方案〉的通知》（环大气〔2019〕56号）重点区域排放限值要求</w:t>
      </w:r>
      <w:r>
        <w:rPr>
          <w:rFonts w:cs="Times New Roman"/>
          <w:color w:val="auto"/>
          <w:szCs w:val="24"/>
        </w:rPr>
        <w:t>；厨房油烟排放口符合《饮食业油烟排放标准（试行）》（GB18483-2001）小型排放标准要求：（≤2.0mg/m³）。</w:t>
      </w:r>
    </w:p>
    <w:bookmarkEnd w:id="103"/>
    <w:p>
      <w:pPr>
        <w:pStyle w:val="4"/>
        <w:rPr>
          <w:color w:val="auto"/>
        </w:rPr>
      </w:pPr>
      <w:bookmarkStart w:id="107" w:name="_Toc28638"/>
      <w:bookmarkStart w:id="108" w:name="_Toc156491679"/>
      <w:bookmarkStart w:id="109" w:name="_Toc164292302"/>
      <w:r>
        <w:rPr>
          <w:rFonts w:hint="eastAsia"/>
          <w:color w:val="auto"/>
        </w:rPr>
        <w:t>噪声</w:t>
      </w:r>
      <w:bookmarkEnd w:id="107"/>
      <w:bookmarkEnd w:id="108"/>
      <w:bookmarkEnd w:id="109"/>
    </w:p>
    <w:p>
      <w:pPr>
        <w:ind w:firstLine="480"/>
        <w:rPr>
          <w:color w:val="auto"/>
        </w:rPr>
      </w:pPr>
      <w:r>
        <w:rPr>
          <w:rFonts w:hint="eastAsia"/>
          <w:color w:val="auto"/>
        </w:rPr>
        <w:t>本项目厂界噪声监测结果见下表9.1-3。</w:t>
      </w:r>
    </w:p>
    <w:p>
      <w:pPr>
        <w:pStyle w:val="37"/>
        <w:rPr>
          <w:color w:val="auto"/>
        </w:rPr>
      </w:pPr>
      <w:r>
        <w:rPr>
          <w:rFonts w:hint="eastAsia"/>
          <w:color w:val="auto"/>
        </w:rPr>
        <w:t>表9.1</w:t>
      </w:r>
      <w:r>
        <w:rPr>
          <w:color w:val="auto"/>
        </w:rPr>
        <w:noBreakHyphen/>
      </w:r>
      <w:r>
        <w:rPr>
          <w:rFonts w:hint="eastAsia"/>
          <w:color w:val="auto"/>
        </w:rPr>
        <w:t>3</w:t>
      </w:r>
      <w:r>
        <w:rPr>
          <w:color w:val="auto"/>
        </w:rPr>
        <w:t xml:space="preserve"> </w:t>
      </w:r>
      <w:r>
        <w:rPr>
          <w:rFonts w:hint="eastAsia"/>
          <w:color w:val="auto"/>
        </w:rPr>
        <w:t>噪声检测结果</w:t>
      </w:r>
    </w:p>
    <w:tbl>
      <w:tblPr>
        <w:tblStyle w:val="24"/>
        <w:tblW w:w="852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77"/>
        <w:gridCol w:w="2587"/>
        <w:gridCol w:w="1127"/>
        <w:gridCol w:w="833"/>
        <w:gridCol w:w="833"/>
        <w:gridCol w:w="900"/>
        <w:gridCol w:w="8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9" w:hRule="atLeast"/>
          <w:jc w:val="center"/>
        </w:trPr>
        <w:tc>
          <w:tcPr>
            <w:tcW w:w="1377" w:type="dxa"/>
            <w:vMerge w:val="restart"/>
            <w:tcBorders>
              <w:top w:val="single" w:color="auto" w:sz="4" w:space="0"/>
              <w:left w:val="single" w:color="auto" w:sz="2" w:space="0"/>
              <w:bottom w:val="single" w:color="auto" w:sz="4" w:space="0"/>
              <w:right w:val="single" w:color="auto" w:sz="4" w:space="0"/>
            </w:tcBorders>
            <w:vAlign w:val="center"/>
          </w:tcPr>
          <w:p>
            <w:pPr>
              <w:tabs>
                <w:tab w:val="center" w:pos="523"/>
              </w:tabs>
              <w:ind w:right="-130" w:rightChars="-54" w:firstLine="0" w:firstLineChars="0"/>
              <w:jc w:val="center"/>
              <w:rPr>
                <w:rFonts w:cs="Times New Roman"/>
                <w:color w:val="auto"/>
                <w:sz w:val="21"/>
                <w:szCs w:val="21"/>
              </w:rPr>
            </w:pPr>
            <w:r>
              <w:rPr>
                <w:rFonts w:ascii="宋体" w:hAnsi="宋体" w:cs="Times New Roman"/>
                <w:b/>
                <w:bCs/>
                <w:color w:val="auto"/>
                <w:kern w:val="0"/>
                <w:sz w:val="21"/>
                <w:szCs w:val="21"/>
              </w:rPr>
              <w:t>检测日期</w:t>
            </w:r>
          </w:p>
        </w:tc>
        <w:tc>
          <w:tcPr>
            <w:tcW w:w="2587" w:type="dxa"/>
            <w:vMerge w:val="restart"/>
            <w:tcBorders>
              <w:top w:val="single" w:color="auto" w:sz="4" w:space="0"/>
              <w:left w:val="single" w:color="auto" w:sz="2" w:space="0"/>
              <w:bottom w:val="single" w:color="auto" w:sz="4" w:space="0"/>
              <w:right w:val="single" w:color="auto" w:sz="4" w:space="0"/>
            </w:tcBorders>
            <w:vAlign w:val="center"/>
          </w:tcPr>
          <w:p>
            <w:pPr>
              <w:ind w:left="-125" w:leftChars="-52" w:right="-130" w:rightChars="-54" w:firstLine="0" w:firstLineChars="0"/>
              <w:jc w:val="center"/>
              <w:rPr>
                <w:rFonts w:cs="Times New Roman"/>
                <w:color w:val="auto"/>
                <w:sz w:val="21"/>
                <w:szCs w:val="21"/>
              </w:rPr>
            </w:pPr>
            <w:r>
              <w:rPr>
                <w:rFonts w:ascii="宋体" w:hAnsi="宋体" w:cs="Times New Roman"/>
                <w:b/>
                <w:bCs/>
                <w:color w:val="auto"/>
                <w:kern w:val="0"/>
                <w:sz w:val="21"/>
                <w:szCs w:val="21"/>
              </w:rPr>
              <w:t>检测点位</w:t>
            </w:r>
          </w:p>
        </w:tc>
        <w:tc>
          <w:tcPr>
            <w:tcW w:w="1127" w:type="dxa"/>
            <w:vMerge w:val="restart"/>
            <w:tcBorders>
              <w:top w:val="single" w:color="auto" w:sz="4" w:space="0"/>
              <w:left w:val="single" w:color="auto" w:sz="4" w:space="0"/>
              <w:bottom w:val="single" w:color="auto" w:sz="4" w:space="0"/>
              <w:right w:val="single" w:color="auto" w:sz="4" w:space="0"/>
            </w:tcBorders>
            <w:vAlign w:val="center"/>
          </w:tcPr>
          <w:p>
            <w:pPr>
              <w:ind w:left="-125" w:leftChars="-52" w:right="-130" w:rightChars="-54" w:firstLine="0" w:firstLineChars="0"/>
              <w:jc w:val="center"/>
              <w:rPr>
                <w:rFonts w:cs="Times New Roman"/>
                <w:b/>
                <w:bCs/>
                <w:color w:val="auto"/>
                <w:kern w:val="0"/>
                <w:sz w:val="21"/>
                <w:szCs w:val="21"/>
              </w:rPr>
            </w:pPr>
            <w:r>
              <w:rPr>
                <w:rFonts w:ascii="宋体" w:hAnsi="宋体" w:cs="Times New Roman"/>
                <w:b/>
                <w:bCs/>
                <w:color w:val="auto"/>
                <w:kern w:val="0"/>
                <w:sz w:val="21"/>
                <w:szCs w:val="21"/>
              </w:rPr>
              <w:t>主要声源</w:t>
            </w:r>
          </w:p>
        </w:tc>
        <w:tc>
          <w:tcPr>
            <w:tcW w:w="3431" w:type="dxa"/>
            <w:gridSpan w:val="4"/>
            <w:tcBorders>
              <w:top w:val="single" w:color="auto" w:sz="4" w:space="0"/>
              <w:left w:val="single" w:color="auto" w:sz="2"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b/>
                <w:bCs/>
                <w:color w:val="auto"/>
                <w:kern w:val="0"/>
                <w:sz w:val="21"/>
                <w:szCs w:val="21"/>
              </w:rPr>
              <w:t>Leq</w:t>
            </w:r>
            <w:r>
              <w:rPr>
                <w:rFonts w:ascii="宋体" w:hAnsi="宋体" w:cs="Times New Roman"/>
                <w:b/>
                <w:bCs/>
                <w:color w:val="auto"/>
                <w:kern w:val="0"/>
                <w:sz w:val="21"/>
                <w:szCs w:val="21"/>
              </w:rPr>
              <w:t>值</w:t>
            </w:r>
            <w:r>
              <w:rPr>
                <w:rFonts w:cs="Times New Roman"/>
                <w:b/>
                <w:bCs/>
                <w:color w:val="auto"/>
                <w:kern w:val="0"/>
                <w:sz w:val="21"/>
                <w:szCs w:val="21"/>
              </w:rPr>
              <w:t>[dB(A)]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0" w:hRule="atLeast"/>
          <w:jc w:val="center"/>
        </w:trPr>
        <w:tc>
          <w:tcPr>
            <w:tcW w:w="1377" w:type="dxa"/>
            <w:vMerge w:val="continue"/>
            <w:tcBorders>
              <w:top w:val="single" w:color="auto" w:sz="4" w:space="0"/>
              <w:left w:val="single" w:color="auto" w:sz="2"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2587" w:type="dxa"/>
            <w:vMerge w:val="continue"/>
            <w:tcBorders>
              <w:top w:val="single" w:color="auto" w:sz="4" w:space="0"/>
              <w:left w:val="single" w:color="auto" w:sz="2"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127"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b/>
                <w:bCs/>
                <w:color w:val="auto"/>
                <w:kern w:val="0"/>
                <w:sz w:val="21"/>
                <w:szCs w:val="21"/>
              </w:rPr>
            </w:pPr>
          </w:p>
        </w:tc>
        <w:tc>
          <w:tcPr>
            <w:tcW w:w="1666" w:type="dxa"/>
            <w:gridSpan w:val="2"/>
            <w:tcBorders>
              <w:top w:val="single" w:color="auto" w:sz="4" w:space="0"/>
              <w:left w:val="single" w:color="auto" w:sz="2"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ascii="宋体" w:hAnsi="宋体" w:cs="Times New Roman"/>
                <w:b/>
                <w:bCs/>
                <w:color w:val="auto"/>
                <w:kern w:val="0"/>
                <w:sz w:val="21"/>
                <w:szCs w:val="21"/>
              </w:rPr>
              <w:t>检测结果</w:t>
            </w:r>
          </w:p>
        </w:tc>
        <w:tc>
          <w:tcPr>
            <w:tcW w:w="1765" w:type="dxa"/>
            <w:gridSpan w:val="2"/>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ascii="宋体" w:hAnsi="宋体" w:cs="Times New Roman"/>
                <w:b/>
                <w:bCs/>
                <w:color w:val="auto"/>
                <w:kern w:val="0"/>
                <w:sz w:val="21"/>
                <w:szCs w:val="21"/>
              </w:rPr>
              <w:t>标准限值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0" w:hRule="atLeast"/>
          <w:jc w:val="center"/>
        </w:trPr>
        <w:tc>
          <w:tcPr>
            <w:tcW w:w="1377" w:type="dxa"/>
            <w:vMerge w:val="continue"/>
            <w:tcBorders>
              <w:top w:val="single" w:color="auto" w:sz="4" w:space="0"/>
              <w:left w:val="single" w:color="auto" w:sz="2"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2587" w:type="dxa"/>
            <w:vMerge w:val="continue"/>
            <w:tcBorders>
              <w:top w:val="single" w:color="auto" w:sz="4" w:space="0"/>
              <w:left w:val="single" w:color="auto" w:sz="2"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1127" w:type="dxa"/>
            <w:vMerge w:val="continue"/>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left"/>
              <w:rPr>
                <w:rFonts w:cs="Times New Roman"/>
                <w:b/>
                <w:bCs/>
                <w:color w:val="auto"/>
                <w:kern w:val="0"/>
                <w:sz w:val="21"/>
                <w:szCs w:val="21"/>
              </w:rPr>
            </w:pPr>
          </w:p>
        </w:tc>
        <w:tc>
          <w:tcPr>
            <w:tcW w:w="833" w:type="dxa"/>
            <w:tcBorders>
              <w:top w:val="single" w:color="auto" w:sz="4" w:space="0"/>
              <w:left w:val="single" w:color="auto" w:sz="2" w:space="0"/>
              <w:bottom w:val="single" w:color="auto" w:sz="4" w:space="0"/>
              <w:right w:val="single" w:color="auto" w:sz="4" w:space="0"/>
            </w:tcBorders>
            <w:vAlign w:val="center"/>
          </w:tcPr>
          <w:p>
            <w:pPr>
              <w:autoSpaceDE w:val="0"/>
              <w:spacing w:line="240" w:lineRule="auto"/>
              <w:ind w:firstLine="0" w:firstLineChars="0"/>
              <w:jc w:val="center"/>
              <w:rPr>
                <w:rFonts w:cs="Times New Roman"/>
                <w:color w:val="auto"/>
                <w:sz w:val="21"/>
                <w:szCs w:val="21"/>
              </w:rPr>
            </w:pPr>
            <w:r>
              <w:rPr>
                <w:rFonts w:ascii="宋体" w:hAnsi="宋体" w:cs="Times New Roman"/>
                <w:b/>
                <w:bCs/>
                <w:color w:val="auto"/>
                <w:kern w:val="0"/>
                <w:sz w:val="21"/>
                <w:szCs w:val="21"/>
              </w:rPr>
              <w:t>昼间</w:t>
            </w:r>
          </w:p>
        </w:tc>
        <w:tc>
          <w:tcPr>
            <w:tcW w:w="833"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ind w:firstLine="0" w:firstLineChars="0"/>
              <w:jc w:val="center"/>
              <w:rPr>
                <w:rFonts w:cs="Times New Roman"/>
                <w:b/>
                <w:bCs/>
                <w:color w:val="auto"/>
                <w:kern w:val="0"/>
                <w:sz w:val="21"/>
                <w:szCs w:val="21"/>
              </w:rPr>
            </w:pPr>
            <w:r>
              <w:rPr>
                <w:rFonts w:ascii="宋体" w:hAnsi="宋体" w:cs="Times New Roman"/>
                <w:b/>
                <w:bCs/>
                <w:color w:val="auto"/>
                <w:kern w:val="0"/>
                <w:sz w:val="21"/>
                <w:szCs w:val="21"/>
              </w:rPr>
              <w:t>夜间</w:t>
            </w:r>
          </w:p>
        </w:tc>
        <w:tc>
          <w:tcPr>
            <w:tcW w:w="900"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ind w:firstLine="0" w:firstLineChars="0"/>
              <w:jc w:val="center"/>
              <w:rPr>
                <w:rFonts w:cs="Times New Roman"/>
                <w:color w:val="auto"/>
                <w:sz w:val="21"/>
                <w:szCs w:val="21"/>
              </w:rPr>
            </w:pPr>
            <w:r>
              <w:rPr>
                <w:rFonts w:ascii="宋体" w:hAnsi="宋体" w:cs="Times New Roman"/>
                <w:b/>
                <w:bCs/>
                <w:color w:val="auto"/>
                <w:kern w:val="0"/>
                <w:sz w:val="21"/>
                <w:szCs w:val="21"/>
              </w:rPr>
              <w:t>昼间</w:t>
            </w:r>
          </w:p>
        </w:tc>
        <w:tc>
          <w:tcPr>
            <w:tcW w:w="865" w:type="dxa"/>
            <w:tcBorders>
              <w:top w:val="single" w:color="auto" w:sz="4" w:space="0"/>
              <w:left w:val="single" w:color="auto" w:sz="4" w:space="0"/>
              <w:bottom w:val="single" w:color="auto" w:sz="4" w:space="0"/>
              <w:right w:val="single" w:color="auto" w:sz="4" w:space="0"/>
            </w:tcBorders>
            <w:vAlign w:val="center"/>
          </w:tcPr>
          <w:p>
            <w:pPr>
              <w:autoSpaceDE w:val="0"/>
              <w:spacing w:line="240" w:lineRule="auto"/>
              <w:ind w:firstLine="0" w:firstLineChars="0"/>
              <w:jc w:val="center"/>
              <w:rPr>
                <w:rFonts w:cs="Times New Roman"/>
                <w:b/>
                <w:bCs/>
                <w:color w:val="auto"/>
                <w:kern w:val="0"/>
                <w:sz w:val="21"/>
                <w:szCs w:val="21"/>
              </w:rPr>
            </w:pPr>
            <w:r>
              <w:rPr>
                <w:rFonts w:ascii="宋体" w:hAnsi="宋体" w:cs="Times New Roman"/>
                <w:b/>
                <w:bCs/>
                <w:color w:val="auto"/>
                <w:kern w:val="0"/>
                <w:sz w:val="21"/>
                <w:szCs w:val="21"/>
              </w:rPr>
              <w:t>夜间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3" w:hRule="atLeast"/>
          <w:jc w:val="center"/>
        </w:trPr>
        <w:tc>
          <w:tcPr>
            <w:tcW w:w="1377" w:type="dxa"/>
            <w:vMerge w:val="restart"/>
            <w:tcBorders>
              <w:top w:val="nil"/>
              <w:left w:val="single" w:color="auto" w:sz="2" w:space="0"/>
              <w:bottom w:val="single" w:color="auto" w:sz="4" w:space="0"/>
              <w:right w:val="single" w:color="auto" w:sz="4" w:space="0"/>
            </w:tcBorders>
            <w:vAlign w:val="center"/>
          </w:tcPr>
          <w:p>
            <w:pPr>
              <w:widowControl/>
              <w:spacing w:line="240" w:lineRule="auto"/>
              <w:ind w:firstLine="0" w:firstLineChars="0"/>
              <w:jc w:val="center"/>
              <w:rPr>
                <w:rFonts w:cs="Times New Roman"/>
                <w:color w:val="auto"/>
                <w:kern w:val="0"/>
                <w:sz w:val="21"/>
                <w:szCs w:val="21"/>
              </w:rPr>
            </w:pPr>
            <w:r>
              <w:rPr>
                <w:rFonts w:cs="Times New Roman"/>
                <w:color w:val="auto"/>
                <w:sz w:val="21"/>
                <w:szCs w:val="21"/>
              </w:rPr>
              <w:t>2025.12.10</w:t>
            </w:r>
          </w:p>
        </w:tc>
        <w:tc>
          <w:tcPr>
            <w:tcW w:w="2587" w:type="dxa"/>
            <w:tcBorders>
              <w:top w:val="single" w:color="auto" w:sz="4" w:space="0"/>
              <w:left w:val="single" w:color="auto" w:sz="2" w:space="0"/>
              <w:bottom w:val="single" w:color="auto" w:sz="4" w:space="0"/>
              <w:right w:val="single" w:color="auto" w:sz="4" w:space="0"/>
            </w:tcBorders>
            <w:vAlign w:val="center"/>
          </w:tcPr>
          <w:p>
            <w:pPr>
              <w:spacing w:line="240" w:lineRule="auto"/>
              <w:ind w:firstLine="0" w:firstLineChars="0"/>
              <w:jc w:val="center"/>
              <w:rPr>
                <w:rFonts w:cs="Times New Roman"/>
                <w:bCs/>
                <w:color w:val="auto"/>
                <w:sz w:val="21"/>
                <w:szCs w:val="21"/>
              </w:rPr>
            </w:pPr>
            <w:r>
              <w:rPr>
                <w:rFonts w:ascii="宋体" w:hAnsi="宋体" w:cs="Times New Roman"/>
                <w:bCs/>
                <w:color w:val="auto"/>
                <w:sz w:val="21"/>
                <w:szCs w:val="21"/>
              </w:rPr>
              <w:t>东面厂界外</w:t>
            </w:r>
            <w:r>
              <w:rPr>
                <w:rFonts w:cs="Times New Roman"/>
                <w:bCs/>
                <w:color w:val="auto"/>
                <w:sz w:val="21"/>
                <w:szCs w:val="21"/>
              </w:rPr>
              <w:t>1m</w:t>
            </w:r>
            <w:r>
              <w:rPr>
                <w:rFonts w:ascii="宋体" w:hAnsi="宋体" w:cs="Times New Roman"/>
                <w:bCs/>
                <w:color w:val="auto"/>
                <w:sz w:val="21"/>
                <w:szCs w:val="21"/>
              </w:rPr>
              <w:t>处</w:t>
            </w:r>
            <w:r>
              <w:rPr>
                <w:rFonts w:ascii="Cambria Math" w:hAnsi="Cambria Math" w:cs="Cambria Math"/>
                <w:bCs/>
                <w:color w:val="auto"/>
                <w:sz w:val="21"/>
                <w:szCs w:val="21"/>
              </w:rPr>
              <w:t>△</w:t>
            </w:r>
            <w:r>
              <w:rPr>
                <w:rFonts w:cs="Times New Roman"/>
                <w:bCs/>
                <w:color w:val="auto"/>
                <w:sz w:val="21"/>
                <w:szCs w:val="21"/>
              </w:rPr>
              <w:t>N</w:t>
            </w:r>
            <w:r>
              <w:rPr>
                <w:rFonts w:cs="Times New Roman"/>
                <w:color w:val="auto"/>
                <w:sz w:val="21"/>
                <w:szCs w:val="21"/>
              </w:rPr>
              <w:t>1</w:t>
            </w:r>
          </w:p>
        </w:tc>
        <w:tc>
          <w:tcPr>
            <w:tcW w:w="1127"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bCs/>
                <w:color w:val="auto"/>
                <w:sz w:val="21"/>
                <w:szCs w:val="21"/>
              </w:rPr>
            </w:pPr>
            <w:r>
              <w:rPr>
                <w:rFonts w:ascii="宋体" w:hAnsi="宋体" w:cs="Times New Roman"/>
                <w:bCs/>
                <w:color w:val="auto"/>
                <w:sz w:val="21"/>
                <w:szCs w:val="21"/>
              </w:rPr>
              <w:t>生产</w:t>
            </w:r>
          </w:p>
        </w:tc>
        <w:tc>
          <w:tcPr>
            <w:tcW w:w="833" w:type="dxa"/>
            <w:tcBorders>
              <w:top w:val="single" w:color="auto" w:sz="4" w:space="0"/>
              <w:left w:val="single" w:color="auto" w:sz="2"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55</w:t>
            </w:r>
          </w:p>
        </w:tc>
        <w:tc>
          <w:tcPr>
            <w:tcW w:w="833"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44</w:t>
            </w:r>
          </w:p>
        </w:tc>
        <w:tc>
          <w:tcPr>
            <w:tcW w:w="900"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65</w:t>
            </w:r>
          </w:p>
        </w:tc>
        <w:tc>
          <w:tcPr>
            <w:tcW w:w="865"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3" w:hRule="atLeast"/>
          <w:jc w:val="center"/>
        </w:trPr>
        <w:tc>
          <w:tcPr>
            <w:tcW w:w="1377" w:type="dxa"/>
            <w:vMerge w:val="continue"/>
            <w:tcBorders>
              <w:top w:val="nil"/>
              <w:left w:val="single" w:color="auto" w:sz="2"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kern w:val="0"/>
                <w:sz w:val="21"/>
                <w:szCs w:val="21"/>
              </w:rPr>
            </w:pPr>
          </w:p>
        </w:tc>
        <w:tc>
          <w:tcPr>
            <w:tcW w:w="2587" w:type="dxa"/>
            <w:tcBorders>
              <w:top w:val="single" w:color="auto" w:sz="4" w:space="0"/>
              <w:left w:val="single" w:color="auto" w:sz="2" w:space="0"/>
              <w:bottom w:val="single" w:color="auto" w:sz="4" w:space="0"/>
              <w:right w:val="single" w:color="auto" w:sz="4" w:space="0"/>
            </w:tcBorders>
            <w:vAlign w:val="center"/>
          </w:tcPr>
          <w:p>
            <w:pPr>
              <w:spacing w:line="240" w:lineRule="auto"/>
              <w:ind w:firstLine="0" w:firstLineChars="0"/>
              <w:jc w:val="center"/>
              <w:rPr>
                <w:rFonts w:cs="Times New Roman"/>
                <w:bCs/>
                <w:color w:val="auto"/>
                <w:sz w:val="21"/>
                <w:szCs w:val="21"/>
              </w:rPr>
            </w:pPr>
            <w:r>
              <w:rPr>
                <w:rFonts w:ascii="宋体" w:hAnsi="宋体" w:cs="Times New Roman"/>
                <w:bCs/>
                <w:color w:val="auto"/>
                <w:sz w:val="21"/>
                <w:szCs w:val="21"/>
              </w:rPr>
              <w:t>南面厂界外</w:t>
            </w:r>
            <w:r>
              <w:rPr>
                <w:rFonts w:cs="Times New Roman"/>
                <w:bCs/>
                <w:color w:val="auto"/>
                <w:sz w:val="21"/>
                <w:szCs w:val="21"/>
              </w:rPr>
              <w:t>1m</w:t>
            </w:r>
            <w:r>
              <w:rPr>
                <w:rFonts w:ascii="宋体" w:hAnsi="宋体" w:cs="Times New Roman"/>
                <w:bCs/>
                <w:color w:val="auto"/>
                <w:sz w:val="21"/>
                <w:szCs w:val="21"/>
              </w:rPr>
              <w:t>处</w:t>
            </w:r>
            <w:r>
              <w:rPr>
                <w:rFonts w:ascii="Cambria Math" w:hAnsi="Cambria Math" w:cs="Cambria Math"/>
                <w:bCs/>
                <w:color w:val="auto"/>
                <w:sz w:val="21"/>
                <w:szCs w:val="21"/>
              </w:rPr>
              <w:t>△</w:t>
            </w:r>
            <w:r>
              <w:rPr>
                <w:rFonts w:cs="Times New Roman"/>
                <w:bCs/>
                <w:color w:val="auto"/>
                <w:sz w:val="21"/>
                <w:szCs w:val="21"/>
              </w:rPr>
              <w:t>N</w:t>
            </w:r>
            <w:r>
              <w:rPr>
                <w:rFonts w:cs="Times New Roman"/>
                <w:color w:val="auto"/>
                <w:sz w:val="21"/>
                <w:szCs w:val="21"/>
              </w:rPr>
              <w:t>2</w:t>
            </w:r>
          </w:p>
        </w:tc>
        <w:tc>
          <w:tcPr>
            <w:tcW w:w="1127"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bCs/>
                <w:color w:val="auto"/>
                <w:sz w:val="21"/>
                <w:szCs w:val="21"/>
              </w:rPr>
            </w:pPr>
            <w:r>
              <w:rPr>
                <w:rFonts w:ascii="宋体" w:hAnsi="宋体" w:cs="Times New Roman"/>
                <w:bCs/>
                <w:color w:val="auto"/>
                <w:sz w:val="21"/>
                <w:szCs w:val="21"/>
              </w:rPr>
              <w:t>生产</w:t>
            </w:r>
          </w:p>
        </w:tc>
        <w:tc>
          <w:tcPr>
            <w:tcW w:w="833" w:type="dxa"/>
            <w:tcBorders>
              <w:top w:val="single" w:color="auto" w:sz="4" w:space="0"/>
              <w:left w:val="single" w:color="auto" w:sz="2"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57</w:t>
            </w:r>
          </w:p>
        </w:tc>
        <w:tc>
          <w:tcPr>
            <w:tcW w:w="833"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46</w:t>
            </w:r>
          </w:p>
        </w:tc>
        <w:tc>
          <w:tcPr>
            <w:tcW w:w="900"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65</w:t>
            </w:r>
          </w:p>
        </w:tc>
        <w:tc>
          <w:tcPr>
            <w:tcW w:w="865"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3" w:hRule="atLeast"/>
          <w:jc w:val="center"/>
        </w:trPr>
        <w:tc>
          <w:tcPr>
            <w:tcW w:w="1377" w:type="dxa"/>
            <w:vMerge w:val="continue"/>
            <w:tcBorders>
              <w:top w:val="nil"/>
              <w:left w:val="single" w:color="auto" w:sz="2"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kern w:val="0"/>
                <w:sz w:val="21"/>
                <w:szCs w:val="21"/>
              </w:rPr>
            </w:pPr>
          </w:p>
        </w:tc>
        <w:tc>
          <w:tcPr>
            <w:tcW w:w="2587" w:type="dxa"/>
            <w:tcBorders>
              <w:top w:val="single" w:color="auto" w:sz="4" w:space="0"/>
              <w:left w:val="single" w:color="auto" w:sz="2" w:space="0"/>
              <w:bottom w:val="single" w:color="auto" w:sz="4" w:space="0"/>
              <w:right w:val="single" w:color="auto" w:sz="4" w:space="0"/>
            </w:tcBorders>
            <w:vAlign w:val="center"/>
          </w:tcPr>
          <w:p>
            <w:pPr>
              <w:spacing w:line="240" w:lineRule="auto"/>
              <w:ind w:firstLine="0" w:firstLineChars="0"/>
              <w:jc w:val="center"/>
              <w:rPr>
                <w:rFonts w:cs="Times New Roman"/>
                <w:bCs/>
                <w:color w:val="auto"/>
                <w:sz w:val="21"/>
                <w:szCs w:val="21"/>
              </w:rPr>
            </w:pPr>
            <w:r>
              <w:rPr>
                <w:rFonts w:ascii="宋体" w:hAnsi="宋体" w:cs="Times New Roman"/>
                <w:bCs/>
                <w:color w:val="auto"/>
                <w:sz w:val="21"/>
                <w:szCs w:val="21"/>
              </w:rPr>
              <w:t>西</w:t>
            </w:r>
            <w:r>
              <w:rPr>
                <w:rFonts w:hint="eastAsia" w:ascii="宋体" w:hAnsi="宋体" w:cs="Times New Roman"/>
                <w:bCs/>
                <w:color w:val="auto"/>
                <w:sz w:val="21"/>
                <w:szCs w:val="21"/>
              </w:rPr>
              <w:t>南</w:t>
            </w:r>
            <w:r>
              <w:rPr>
                <w:rFonts w:ascii="宋体" w:hAnsi="宋体" w:cs="Times New Roman"/>
                <w:bCs/>
                <w:color w:val="auto"/>
                <w:sz w:val="21"/>
                <w:szCs w:val="21"/>
              </w:rPr>
              <w:t>面厂界外</w:t>
            </w:r>
            <w:r>
              <w:rPr>
                <w:rFonts w:cs="Times New Roman"/>
                <w:bCs/>
                <w:color w:val="auto"/>
                <w:sz w:val="21"/>
                <w:szCs w:val="21"/>
              </w:rPr>
              <w:t>1m</w:t>
            </w:r>
            <w:r>
              <w:rPr>
                <w:rFonts w:ascii="宋体" w:hAnsi="宋体" w:cs="Times New Roman"/>
                <w:bCs/>
                <w:color w:val="auto"/>
                <w:sz w:val="21"/>
                <w:szCs w:val="21"/>
              </w:rPr>
              <w:t>处</w:t>
            </w:r>
            <w:r>
              <w:rPr>
                <w:rFonts w:ascii="Cambria Math" w:hAnsi="Cambria Math" w:cs="Cambria Math"/>
                <w:bCs/>
                <w:color w:val="auto"/>
                <w:sz w:val="21"/>
                <w:szCs w:val="21"/>
              </w:rPr>
              <w:t>△</w:t>
            </w:r>
            <w:r>
              <w:rPr>
                <w:rFonts w:cs="Times New Roman"/>
                <w:bCs/>
                <w:color w:val="auto"/>
                <w:sz w:val="21"/>
                <w:szCs w:val="21"/>
              </w:rPr>
              <w:t>N</w:t>
            </w:r>
            <w:r>
              <w:rPr>
                <w:rFonts w:cs="Times New Roman"/>
                <w:color w:val="auto"/>
                <w:sz w:val="21"/>
                <w:szCs w:val="21"/>
              </w:rPr>
              <w:t>3</w:t>
            </w:r>
          </w:p>
        </w:tc>
        <w:tc>
          <w:tcPr>
            <w:tcW w:w="1127"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bCs/>
                <w:color w:val="auto"/>
                <w:sz w:val="21"/>
                <w:szCs w:val="21"/>
              </w:rPr>
            </w:pPr>
            <w:r>
              <w:rPr>
                <w:rFonts w:ascii="宋体" w:hAnsi="宋体" w:cs="Times New Roman"/>
                <w:bCs/>
                <w:color w:val="auto"/>
                <w:sz w:val="21"/>
                <w:szCs w:val="21"/>
              </w:rPr>
              <w:t>生产</w:t>
            </w:r>
          </w:p>
        </w:tc>
        <w:tc>
          <w:tcPr>
            <w:tcW w:w="833" w:type="dxa"/>
            <w:tcBorders>
              <w:top w:val="single" w:color="auto" w:sz="4" w:space="0"/>
              <w:left w:val="single" w:color="auto" w:sz="2"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55</w:t>
            </w:r>
          </w:p>
        </w:tc>
        <w:tc>
          <w:tcPr>
            <w:tcW w:w="833"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44</w:t>
            </w:r>
          </w:p>
        </w:tc>
        <w:tc>
          <w:tcPr>
            <w:tcW w:w="900"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65</w:t>
            </w:r>
          </w:p>
        </w:tc>
        <w:tc>
          <w:tcPr>
            <w:tcW w:w="865"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3" w:hRule="atLeast"/>
          <w:jc w:val="center"/>
        </w:trPr>
        <w:tc>
          <w:tcPr>
            <w:tcW w:w="1377" w:type="dxa"/>
            <w:vMerge w:val="continue"/>
            <w:tcBorders>
              <w:top w:val="nil"/>
              <w:left w:val="single" w:color="auto" w:sz="2"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kern w:val="0"/>
                <w:sz w:val="21"/>
                <w:szCs w:val="21"/>
              </w:rPr>
            </w:pPr>
          </w:p>
        </w:tc>
        <w:tc>
          <w:tcPr>
            <w:tcW w:w="2587" w:type="dxa"/>
            <w:tcBorders>
              <w:top w:val="single" w:color="auto" w:sz="4" w:space="0"/>
              <w:left w:val="single" w:color="auto" w:sz="2" w:space="0"/>
              <w:bottom w:val="single" w:color="auto" w:sz="4" w:space="0"/>
              <w:right w:val="single" w:color="auto" w:sz="4" w:space="0"/>
            </w:tcBorders>
            <w:vAlign w:val="center"/>
          </w:tcPr>
          <w:p>
            <w:pPr>
              <w:spacing w:line="240" w:lineRule="auto"/>
              <w:ind w:firstLine="0" w:firstLineChars="0"/>
              <w:jc w:val="center"/>
              <w:rPr>
                <w:rFonts w:cs="Times New Roman"/>
                <w:bCs/>
                <w:color w:val="auto"/>
                <w:sz w:val="21"/>
                <w:szCs w:val="21"/>
              </w:rPr>
            </w:pPr>
            <w:r>
              <w:rPr>
                <w:rFonts w:ascii="宋体" w:hAnsi="宋体" w:cs="Times New Roman"/>
                <w:bCs/>
                <w:color w:val="auto"/>
                <w:sz w:val="21"/>
                <w:szCs w:val="21"/>
              </w:rPr>
              <w:t>北面厂界外</w:t>
            </w:r>
            <w:r>
              <w:rPr>
                <w:rFonts w:cs="Times New Roman"/>
                <w:bCs/>
                <w:color w:val="auto"/>
                <w:sz w:val="21"/>
                <w:szCs w:val="21"/>
              </w:rPr>
              <w:t>1m</w:t>
            </w:r>
            <w:r>
              <w:rPr>
                <w:rFonts w:ascii="宋体" w:hAnsi="宋体" w:cs="Times New Roman"/>
                <w:bCs/>
                <w:color w:val="auto"/>
                <w:sz w:val="21"/>
                <w:szCs w:val="21"/>
              </w:rPr>
              <w:t>处</w:t>
            </w:r>
            <w:r>
              <w:rPr>
                <w:rFonts w:ascii="Cambria Math" w:hAnsi="Cambria Math" w:cs="Cambria Math"/>
                <w:bCs/>
                <w:color w:val="auto"/>
                <w:sz w:val="21"/>
                <w:szCs w:val="21"/>
              </w:rPr>
              <w:t>△</w:t>
            </w:r>
            <w:r>
              <w:rPr>
                <w:rFonts w:cs="Times New Roman"/>
                <w:bCs/>
                <w:color w:val="auto"/>
                <w:sz w:val="21"/>
                <w:szCs w:val="21"/>
              </w:rPr>
              <w:t>N</w:t>
            </w:r>
            <w:r>
              <w:rPr>
                <w:rFonts w:cs="Times New Roman"/>
                <w:color w:val="auto"/>
                <w:sz w:val="21"/>
                <w:szCs w:val="21"/>
              </w:rPr>
              <w:t>4</w:t>
            </w:r>
          </w:p>
        </w:tc>
        <w:tc>
          <w:tcPr>
            <w:tcW w:w="1127"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bCs/>
                <w:color w:val="auto"/>
                <w:sz w:val="21"/>
                <w:szCs w:val="21"/>
              </w:rPr>
            </w:pPr>
            <w:r>
              <w:rPr>
                <w:rFonts w:ascii="宋体" w:hAnsi="宋体" w:cs="Times New Roman"/>
                <w:bCs/>
                <w:color w:val="auto"/>
                <w:sz w:val="21"/>
                <w:szCs w:val="21"/>
              </w:rPr>
              <w:t>生产</w:t>
            </w:r>
          </w:p>
        </w:tc>
        <w:tc>
          <w:tcPr>
            <w:tcW w:w="833" w:type="dxa"/>
            <w:tcBorders>
              <w:top w:val="single" w:color="auto" w:sz="4" w:space="0"/>
              <w:left w:val="single" w:color="auto" w:sz="2"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57</w:t>
            </w:r>
          </w:p>
        </w:tc>
        <w:tc>
          <w:tcPr>
            <w:tcW w:w="833"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46</w:t>
            </w:r>
          </w:p>
        </w:tc>
        <w:tc>
          <w:tcPr>
            <w:tcW w:w="900"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65</w:t>
            </w:r>
          </w:p>
        </w:tc>
        <w:tc>
          <w:tcPr>
            <w:tcW w:w="865"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3" w:hRule="atLeast"/>
          <w:jc w:val="center"/>
        </w:trPr>
        <w:tc>
          <w:tcPr>
            <w:tcW w:w="1377" w:type="dxa"/>
            <w:vMerge w:val="restart"/>
            <w:tcBorders>
              <w:top w:val="nil"/>
              <w:left w:val="single" w:color="auto" w:sz="2"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2025.12.11</w:t>
            </w:r>
          </w:p>
        </w:tc>
        <w:tc>
          <w:tcPr>
            <w:tcW w:w="2587" w:type="dxa"/>
            <w:tcBorders>
              <w:top w:val="single" w:color="auto" w:sz="4" w:space="0"/>
              <w:left w:val="single" w:color="auto" w:sz="2" w:space="0"/>
              <w:bottom w:val="single" w:color="auto" w:sz="4" w:space="0"/>
              <w:right w:val="single" w:color="auto" w:sz="4" w:space="0"/>
            </w:tcBorders>
            <w:vAlign w:val="center"/>
          </w:tcPr>
          <w:p>
            <w:pPr>
              <w:spacing w:line="240" w:lineRule="auto"/>
              <w:ind w:firstLine="0" w:firstLineChars="0"/>
              <w:jc w:val="center"/>
              <w:rPr>
                <w:rFonts w:cs="Times New Roman"/>
                <w:bCs/>
                <w:color w:val="auto"/>
                <w:sz w:val="21"/>
                <w:szCs w:val="21"/>
              </w:rPr>
            </w:pPr>
            <w:r>
              <w:rPr>
                <w:rFonts w:ascii="宋体" w:hAnsi="宋体" w:cs="Times New Roman"/>
                <w:bCs/>
                <w:color w:val="auto"/>
                <w:sz w:val="21"/>
                <w:szCs w:val="21"/>
              </w:rPr>
              <w:t>东面厂界外</w:t>
            </w:r>
            <w:r>
              <w:rPr>
                <w:rFonts w:cs="Times New Roman"/>
                <w:bCs/>
                <w:color w:val="auto"/>
                <w:sz w:val="21"/>
                <w:szCs w:val="21"/>
              </w:rPr>
              <w:t>1m</w:t>
            </w:r>
            <w:r>
              <w:rPr>
                <w:rFonts w:ascii="宋体" w:hAnsi="宋体" w:cs="Times New Roman"/>
                <w:bCs/>
                <w:color w:val="auto"/>
                <w:sz w:val="21"/>
                <w:szCs w:val="21"/>
              </w:rPr>
              <w:t>处</w:t>
            </w:r>
            <w:r>
              <w:rPr>
                <w:rFonts w:ascii="Cambria Math" w:hAnsi="Cambria Math" w:cs="Cambria Math"/>
                <w:bCs/>
                <w:color w:val="auto"/>
                <w:sz w:val="21"/>
                <w:szCs w:val="21"/>
              </w:rPr>
              <w:t>△</w:t>
            </w:r>
            <w:r>
              <w:rPr>
                <w:rFonts w:cs="Times New Roman"/>
                <w:bCs/>
                <w:color w:val="auto"/>
                <w:sz w:val="21"/>
                <w:szCs w:val="21"/>
              </w:rPr>
              <w:t>N</w:t>
            </w:r>
            <w:r>
              <w:rPr>
                <w:rFonts w:cs="Times New Roman"/>
                <w:color w:val="auto"/>
                <w:sz w:val="21"/>
                <w:szCs w:val="21"/>
              </w:rPr>
              <w:t>1</w:t>
            </w:r>
          </w:p>
        </w:tc>
        <w:tc>
          <w:tcPr>
            <w:tcW w:w="1127"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bCs/>
                <w:color w:val="auto"/>
                <w:sz w:val="21"/>
                <w:szCs w:val="21"/>
              </w:rPr>
            </w:pPr>
            <w:r>
              <w:rPr>
                <w:rFonts w:ascii="宋体" w:hAnsi="宋体" w:cs="Times New Roman"/>
                <w:bCs/>
                <w:color w:val="auto"/>
                <w:sz w:val="21"/>
                <w:szCs w:val="21"/>
              </w:rPr>
              <w:t>生产</w:t>
            </w:r>
          </w:p>
        </w:tc>
        <w:tc>
          <w:tcPr>
            <w:tcW w:w="833" w:type="dxa"/>
            <w:tcBorders>
              <w:top w:val="single" w:color="auto" w:sz="4" w:space="0"/>
              <w:left w:val="single" w:color="auto" w:sz="2"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56</w:t>
            </w:r>
          </w:p>
        </w:tc>
        <w:tc>
          <w:tcPr>
            <w:tcW w:w="833"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45</w:t>
            </w:r>
          </w:p>
        </w:tc>
        <w:tc>
          <w:tcPr>
            <w:tcW w:w="900"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65</w:t>
            </w:r>
          </w:p>
        </w:tc>
        <w:tc>
          <w:tcPr>
            <w:tcW w:w="865"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3" w:hRule="atLeast"/>
          <w:jc w:val="center"/>
        </w:trPr>
        <w:tc>
          <w:tcPr>
            <w:tcW w:w="1377" w:type="dxa"/>
            <w:vMerge w:val="continue"/>
            <w:tcBorders>
              <w:top w:val="nil"/>
              <w:left w:val="single" w:color="auto" w:sz="2"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2587" w:type="dxa"/>
            <w:tcBorders>
              <w:top w:val="single" w:color="auto" w:sz="4" w:space="0"/>
              <w:left w:val="single" w:color="auto" w:sz="2" w:space="0"/>
              <w:bottom w:val="single" w:color="auto" w:sz="4" w:space="0"/>
              <w:right w:val="single" w:color="auto" w:sz="4" w:space="0"/>
            </w:tcBorders>
            <w:vAlign w:val="center"/>
          </w:tcPr>
          <w:p>
            <w:pPr>
              <w:spacing w:line="240" w:lineRule="auto"/>
              <w:ind w:firstLine="0" w:firstLineChars="0"/>
              <w:jc w:val="center"/>
              <w:rPr>
                <w:rFonts w:cs="Times New Roman"/>
                <w:bCs/>
                <w:color w:val="auto"/>
                <w:sz w:val="21"/>
                <w:szCs w:val="21"/>
              </w:rPr>
            </w:pPr>
            <w:r>
              <w:rPr>
                <w:rFonts w:ascii="宋体" w:hAnsi="宋体" w:cs="Times New Roman"/>
                <w:bCs/>
                <w:color w:val="auto"/>
                <w:sz w:val="21"/>
                <w:szCs w:val="21"/>
              </w:rPr>
              <w:t>南面厂界外</w:t>
            </w:r>
            <w:r>
              <w:rPr>
                <w:rFonts w:cs="Times New Roman"/>
                <w:bCs/>
                <w:color w:val="auto"/>
                <w:sz w:val="21"/>
                <w:szCs w:val="21"/>
              </w:rPr>
              <w:t>1m</w:t>
            </w:r>
            <w:r>
              <w:rPr>
                <w:rFonts w:ascii="宋体" w:hAnsi="宋体" w:cs="Times New Roman"/>
                <w:bCs/>
                <w:color w:val="auto"/>
                <w:sz w:val="21"/>
                <w:szCs w:val="21"/>
              </w:rPr>
              <w:t>处</w:t>
            </w:r>
            <w:r>
              <w:rPr>
                <w:rFonts w:ascii="Cambria Math" w:hAnsi="Cambria Math" w:cs="Cambria Math"/>
                <w:bCs/>
                <w:color w:val="auto"/>
                <w:sz w:val="21"/>
                <w:szCs w:val="21"/>
              </w:rPr>
              <w:t>△</w:t>
            </w:r>
            <w:r>
              <w:rPr>
                <w:rFonts w:cs="Times New Roman"/>
                <w:bCs/>
                <w:color w:val="auto"/>
                <w:sz w:val="21"/>
                <w:szCs w:val="21"/>
              </w:rPr>
              <w:t>N</w:t>
            </w:r>
            <w:r>
              <w:rPr>
                <w:rFonts w:cs="Times New Roman"/>
                <w:color w:val="auto"/>
                <w:sz w:val="21"/>
                <w:szCs w:val="21"/>
              </w:rPr>
              <w:t>2</w:t>
            </w:r>
          </w:p>
        </w:tc>
        <w:tc>
          <w:tcPr>
            <w:tcW w:w="1127"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bCs/>
                <w:color w:val="auto"/>
                <w:sz w:val="21"/>
                <w:szCs w:val="21"/>
              </w:rPr>
            </w:pPr>
            <w:r>
              <w:rPr>
                <w:rFonts w:ascii="宋体" w:hAnsi="宋体" w:cs="Times New Roman"/>
                <w:bCs/>
                <w:color w:val="auto"/>
                <w:sz w:val="21"/>
                <w:szCs w:val="21"/>
              </w:rPr>
              <w:t>生产</w:t>
            </w:r>
          </w:p>
        </w:tc>
        <w:tc>
          <w:tcPr>
            <w:tcW w:w="833" w:type="dxa"/>
            <w:tcBorders>
              <w:top w:val="single" w:color="auto" w:sz="4" w:space="0"/>
              <w:left w:val="single" w:color="auto" w:sz="2"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58</w:t>
            </w:r>
          </w:p>
        </w:tc>
        <w:tc>
          <w:tcPr>
            <w:tcW w:w="833"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47</w:t>
            </w:r>
          </w:p>
        </w:tc>
        <w:tc>
          <w:tcPr>
            <w:tcW w:w="900"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65</w:t>
            </w:r>
          </w:p>
        </w:tc>
        <w:tc>
          <w:tcPr>
            <w:tcW w:w="865"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3" w:hRule="atLeast"/>
          <w:jc w:val="center"/>
        </w:trPr>
        <w:tc>
          <w:tcPr>
            <w:tcW w:w="1377" w:type="dxa"/>
            <w:vMerge w:val="continue"/>
            <w:tcBorders>
              <w:top w:val="nil"/>
              <w:left w:val="single" w:color="auto" w:sz="2"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2587" w:type="dxa"/>
            <w:tcBorders>
              <w:top w:val="single" w:color="auto" w:sz="4" w:space="0"/>
              <w:left w:val="single" w:color="auto" w:sz="2" w:space="0"/>
              <w:bottom w:val="single" w:color="auto" w:sz="4" w:space="0"/>
              <w:right w:val="single" w:color="auto" w:sz="4" w:space="0"/>
            </w:tcBorders>
            <w:vAlign w:val="center"/>
          </w:tcPr>
          <w:p>
            <w:pPr>
              <w:spacing w:line="240" w:lineRule="auto"/>
              <w:ind w:firstLine="0" w:firstLineChars="0"/>
              <w:jc w:val="center"/>
              <w:rPr>
                <w:rFonts w:cs="Times New Roman"/>
                <w:bCs/>
                <w:color w:val="auto"/>
                <w:sz w:val="21"/>
                <w:szCs w:val="21"/>
              </w:rPr>
            </w:pPr>
            <w:r>
              <w:rPr>
                <w:rFonts w:ascii="宋体" w:hAnsi="宋体" w:cs="Times New Roman"/>
                <w:bCs/>
                <w:color w:val="auto"/>
                <w:sz w:val="21"/>
                <w:szCs w:val="21"/>
              </w:rPr>
              <w:t>西</w:t>
            </w:r>
            <w:r>
              <w:rPr>
                <w:rFonts w:hint="eastAsia" w:ascii="宋体" w:hAnsi="宋体" w:cs="Times New Roman"/>
                <w:bCs/>
                <w:color w:val="auto"/>
                <w:sz w:val="21"/>
                <w:szCs w:val="21"/>
              </w:rPr>
              <w:t>南</w:t>
            </w:r>
            <w:r>
              <w:rPr>
                <w:rFonts w:ascii="宋体" w:hAnsi="宋体" w:cs="Times New Roman"/>
                <w:bCs/>
                <w:color w:val="auto"/>
                <w:sz w:val="21"/>
                <w:szCs w:val="21"/>
              </w:rPr>
              <w:t>面厂界外</w:t>
            </w:r>
            <w:r>
              <w:rPr>
                <w:rFonts w:cs="Times New Roman"/>
                <w:bCs/>
                <w:color w:val="auto"/>
                <w:sz w:val="21"/>
                <w:szCs w:val="21"/>
              </w:rPr>
              <w:t>1m</w:t>
            </w:r>
            <w:r>
              <w:rPr>
                <w:rFonts w:ascii="宋体" w:hAnsi="宋体" w:cs="Times New Roman"/>
                <w:bCs/>
                <w:color w:val="auto"/>
                <w:sz w:val="21"/>
                <w:szCs w:val="21"/>
              </w:rPr>
              <w:t>处</w:t>
            </w:r>
            <w:r>
              <w:rPr>
                <w:rFonts w:ascii="Cambria Math" w:hAnsi="Cambria Math" w:cs="Cambria Math"/>
                <w:bCs/>
                <w:color w:val="auto"/>
                <w:sz w:val="21"/>
                <w:szCs w:val="21"/>
              </w:rPr>
              <w:t>△</w:t>
            </w:r>
            <w:r>
              <w:rPr>
                <w:rFonts w:cs="Times New Roman"/>
                <w:bCs/>
                <w:color w:val="auto"/>
                <w:sz w:val="21"/>
                <w:szCs w:val="21"/>
              </w:rPr>
              <w:t>N</w:t>
            </w:r>
            <w:r>
              <w:rPr>
                <w:rFonts w:cs="Times New Roman"/>
                <w:color w:val="auto"/>
                <w:sz w:val="21"/>
                <w:szCs w:val="21"/>
              </w:rPr>
              <w:t>3</w:t>
            </w:r>
          </w:p>
        </w:tc>
        <w:tc>
          <w:tcPr>
            <w:tcW w:w="1127"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bCs/>
                <w:color w:val="auto"/>
                <w:sz w:val="21"/>
                <w:szCs w:val="21"/>
              </w:rPr>
            </w:pPr>
            <w:r>
              <w:rPr>
                <w:rFonts w:ascii="宋体" w:hAnsi="宋体" w:cs="Times New Roman"/>
                <w:bCs/>
                <w:color w:val="auto"/>
                <w:sz w:val="21"/>
                <w:szCs w:val="21"/>
              </w:rPr>
              <w:t>生产</w:t>
            </w:r>
          </w:p>
        </w:tc>
        <w:tc>
          <w:tcPr>
            <w:tcW w:w="833" w:type="dxa"/>
            <w:tcBorders>
              <w:top w:val="single" w:color="auto" w:sz="4" w:space="0"/>
              <w:left w:val="single" w:color="auto" w:sz="2"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56</w:t>
            </w:r>
          </w:p>
        </w:tc>
        <w:tc>
          <w:tcPr>
            <w:tcW w:w="833"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46</w:t>
            </w:r>
          </w:p>
        </w:tc>
        <w:tc>
          <w:tcPr>
            <w:tcW w:w="900"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65</w:t>
            </w:r>
          </w:p>
        </w:tc>
        <w:tc>
          <w:tcPr>
            <w:tcW w:w="865"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3" w:hRule="atLeast"/>
          <w:jc w:val="center"/>
        </w:trPr>
        <w:tc>
          <w:tcPr>
            <w:tcW w:w="1377" w:type="dxa"/>
            <w:vMerge w:val="continue"/>
            <w:tcBorders>
              <w:top w:val="nil"/>
              <w:left w:val="single" w:color="auto" w:sz="2" w:space="0"/>
              <w:bottom w:val="single" w:color="auto" w:sz="4" w:space="0"/>
              <w:right w:val="single" w:color="auto" w:sz="4" w:space="0"/>
            </w:tcBorders>
            <w:vAlign w:val="center"/>
          </w:tcPr>
          <w:p>
            <w:pPr>
              <w:widowControl/>
              <w:spacing w:line="240" w:lineRule="auto"/>
              <w:ind w:firstLine="0" w:firstLineChars="0"/>
              <w:jc w:val="left"/>
              <w:rPr>
                <w:rFonts w:cs="Times New Roman"/>
                <w:color w:val="auto"/>
                <w:sz w:val="21"/>
                <w:szCs w:val="21"/>
              </w:rPr>
            </w:pPr>
          </w:p>
        </w:tc>
        <w:tc>
          <w:tcPr>
            <w:tcW w:w="2587" w:type="dxa"/>
            <w:tcBorders>
              <w:top w:val="single" w:color="auto" w:sz="4" w:space="0"/>
              <w:left w:val="single" w:color="auto" w:sz="2" w:space="0"/>
              <w:bottom w:val="single" w:color="auto" w:sz="4" w:space="0"/>
              <w:right w:val="single" w:color="auto" w:sz="4" w:space="0"/>
            </w:tcBorders>
            <w:vAlign w:val="center"/>
          </w:tcPr>
          <w:p>
            <w:pPr>
              <w:spacing w:line="240" w:lineRule="auto"/>
              <w:ind w:firstLine="0" w:firstLineChars="0"/>
              <w:jc w:val="center"/>
              <w:rPr>
                <w:rFonts w:cs="Times New Roman"/>
                <w:bCs/>
                <w:color w:val="auto"/>
                <w:sz w:val="21"/>
                <w:szCs w:val="21"/>
              </w:rPr>
            </w:pPr>
            <w:r>
              <w:rPr>
                <w:rFonts w:ascii="宋体" w:hAnsi="宋体" w:cs="Times New Roman"/>
                <w:bCs/>
                <w:color w:val="auto"/>
                <w:sz w:val="21"/>
                <w:szCs w:val="21"/>
              </w:rPr>
              <w:t>北面厂界外</w:t>
            </w:r>
            <w:r>
              <w:rPr>
                <w:rFonts w:cs="Times New Roman"/>
                <w:bCs/>
                <w:color w:val="auto"/>
                <w:sz w:val="21"/>
                <w:szCs w:val="21"/>
              </w:rPr>
              <w:t>1m</w:t>
            </w:r>
            <w:r>
              <w:rPr>
                <w:rFonts w:ascii="宋体" w:hAnsi="宋体" w:cs="Times New Roman"/>
                <w:bCs/>
                <w:color w:val="auto"/>
                <w:sz w:val="21"/>
                <w:szCs w:val="21"/>
              </w:rPr>
              <w:t>处</w:t>
            </w:r>
            <w:r>
              <w:rPr>
                <w:rFonts w:ascii="Cambria Math" w:hAnsi="Cambria Math" w:cs="Cambria Math"/>
                <w:bCs/>
                <w:color w:val="auto"/>
                <w:sz w:val="21"/>
                <w:szCs w:val="21"/>
              </w:rPr>
              <w:t>△</w:t>
            </w:r>
            <w:r>
              <w:rPr>
                <w:rFonts w:cs="Times New Roman"/>
                <w:bCs/>
                <w:color w:val="auto"/>
                <w:sz w:val="21"/>
                <w:szCs w:val="21"/>
              </w:rPr>
              <w:t>N</w:t>
            </w:r>
            <w:r>
              <w:rPr>
                <w:rFonts w:cs="Times New Roman"/>
                <w:color w:val="auto"/>
                <w:sz w:val="21"/>
                <w:szCs w:val="21"/>
              </w:rPr>
              <w:t>4</w:t>
            </w:r>
          </w:p>
        </w:tc>
        <w:tc>
          <w:tcPr>
            <w:tcW w:w="1127"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bCs/>
                <w:color w:val="auto"/>
                <w:sz w:val="21"/>
                <w:szCs w:val="21"/>
              </w:rPr>
            </w:pPr>
            <w:r>
              <w:rPr>
                <w:rFonts w:ascii="宋体" w:hAnsi="宋体" w:cs="Times New Roman"/>
                <w:bCs/>
                <w:color w:val="auto"/>
                <w:sz w:val="21"/>
                <w:szCs w:val="21"/>
              </w:rPr>
              <w:t>生产</w:t>
            </w:r>
          </w:p>
        </w:tc>
        <w:tc>
          <w:tcPr>
            <w:tcW w:w="833" w:type="dxa"/>
            <w:tcBorders>
              <w:top w:val="single" w:color="auto" w:sz="4" w:space="0"/>
              <w:left w:val="single" w:color="auto" w:sz="2"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57</w:t>
            </w:r>
          </w:p>
        </w:tc>
        <w:tc>
          <w:tcPr>
            <w:tcW w:w="833"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cs="Times New Roman"/>
                <w:color w:val="auto"/>
                <w:sz w:val="21"/>
                <w:szCs w:val="21"/>
              </w:rPr>
            </w:pPr>
            <w:r>
              <w:rPr>
                <w:rFonts w:cs="Times New Roman"/>
                <w:color w:val="auto"/>
                <w:sz w:val="21"/>
                <w:szCs w:val="21"/>
              </w:rPr>
              <w:t>46</w:t>
            </w:r>
          </w:p>
        </w:tc>
        <w:tc>
          <w:tcPr>
            <w:tcW w:w="900"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65</w:t>
            </w:r>
          </w:p>
        </w:tc>
        <w:tc>
          <w:tcPr>
            <w:tcW w:w="865"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textAlignment w:val="center"/>
              <w:rPr>
                <w:rFonts w:cs="Times New Roman"/>
                <w:color w:val="auto"/>
                <w:sz w:val="21"/>
                <w:szCs w:val="21"/>
              </w:rPr>
            </w:pPr>
            <w:r>
              <w:rPr>
                <w:rFonts w:cs="Times New Roman"/>
                <w:color w:val="auto"/>
                <w:sz w:val="21"/>
                <w:szCs w:val="21"/>
              </w:rPr>
              <w:t>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8" w:hRule="atLeast"/>
          <w:jc w:val="center"/>
        </w:trPr>
        <w:tc>
          <w:tcPr>
            <w:tcW w:w="8522" w:type="dxa"/>
            <w:gridSpan w:val="7"/>
            <w:tcBorders>
              <w:top w:val="single" w:color="auto" w:sz="4" w:space="0"/>
              <w:left w:val="single" w:color="auto" w:sz="2" w:space="0"/>
              <w:bottom w:val="single" w:color="auto" w:sz="4" w:space="0"/>
              <w:right w:val="single" w:color="auto" w:sz="4" w:space="0"/>
            </w:tcBorders>
            <w:vAlign w:val="center"/>
          </w:tcPr>
          <w:p>
            <w:pPr>
              <w:spacing w:line="240" w:lineRule="auto"/>
              <w:ind w:left="420" w:hanging="420" w:hangingChars="200"/>
              <w:rPr>
                <w:rFonts w:cs="Times New Roman"/>
                <w:color w:val="auto"/>
                <w:kern w:val="0"/>
                <w:sz w:val="21"/>
                <w:szCs w:val="21"/>
              </w:rPr>
            </w:pPr>
            <w:r>
              <w:rPr>
                <w:rFonts w:ascii="宋体" w:hAnsi="宋体" w:cs="Times New Roman"/>
                <w:color w:val="auto"/>
                <w:kern w:val="0"/>
                <w:sz w:val="21"/>
                <w:szCs w:val="21"/>
              </w:rPr>
              <w:t>备注：</w:t>
            </w:r>
            <w:r>
              <w:rPr>
                <w:rFonts w:cs="Times New Roman"/>
                <w:color w:val="auto"/>
                <w:kern w:val="0"/>
                <w:sz w:val="21"/>
                <w:szCs w:val="21"/>
              </w:rPr>
              <w:t>1</w:t>
            </w:r>
            <w:r>
              <w:rPr>
                <w:rFonts w:ascii="宋体" w:hAnsi="宋体" w:cs="Times New Roman"/>
                <w:color w:val="auto"/>
                <w:kern w:val="0"/>
                <w:sz w:val="21"/>
                <w:szCs w:val="21"/>
              </w:rPr>
              <w:t>、项目执行《工业企业厂界环境噪声排放标准》（</w:t>
            </w:r>
            <w:r>
              <w:rPr>
                <w:rFonts w:cs="Times New Roman"/>
                <w:color w:val="auto"/>
                <w:kern w:val="0"/>
                <w:sz w:val="21"/>
                <w:szCs w:val="21"/>
              </w:rPr>
              <w:t>GB12348-2008</w:t>
            </w:r>
            <w:r>
              <w:rPr>
                <w:rFonts w:ascii="宋体" w:hAnsi="宋体" w:cs="Times New Roman"/>
                <w:color w:val="auto"/>
                <w:kern w:val="0"/>
                <w:sz w:val="21"/>
                <w:szCs w:val="21"/>
              </w:rPr>
              <w:t>）</w:t>
            </w:r>
            <w:r>
              <w:rPr>
                <w:rFonts w:cs="Times New Roman"/>
                <w:color w:val="auto"/>
                <w:kern w:val="0"/>
                <w:sz w:val="21"/>
                <w:szCs w:val="21"/>
              </w:rPr>
              <w:t>3</w:t>
            </w:r>
            <w:r>
              <w:rPr>
                <w:rFonts w:ascii="宋体" w:hAnsi="宋体" w:cs="Times New Roman"/>
                <w:color w:val="auto"/>
                <w:kern w:val="0"/>
                <w:sz w:val="21"/>
                <w:szCs w:val="21"/>
              </w:rPr>
              <w:t>类标准；</w:t>
            </w:r>
          </w:p>
          <w:p>
            <w:pPr>
              <w:autoSpaceDE w:val="0"/>
              <w:autoSpaceDN w:val="0"/>
              <w:adjustRightInd w:val="0"/>
              <w:spacing w:line="240" w:lineRule="auto"/>
              <w:ind w:firstLine="630" w:firstLineChars="300"/>
              <w:rPr>
                <w:rFonts w:eastAsia="黑体" w:cs="Times New Roman"/>
                <w:color w:val="auto"/>
                <w:sz w:val="21"/>
                <w:szCs w:val="21"/>
              </w:rPr>
            </w:pPr>
            <w:r>
              <w:rPr>
                <w:rFonts w:cs="Times New Roman"/>
                <w:color w:val="auto"/>
                <w:kern w:val="0"/>
                <w:sz w:val="21"/>
                <w:szCs w:val="21"/>
              </w:rPr>
              <w:t>2</w:t>
            </w:r>
            <w:r>
              <w:rPr>
                <w:rFonts w:ascii="宋体" w:hAnsi="宋体" w:cs="Times New Roman"/>
                <w:color w:val="auto"/>
                <w:kern w:val="0"/>
                <w:sz w:val="21"/>
                <w:szCs w:val="21"/>
              </w:rPr>
              <w:t>、本报告结果只对当时监测结果负责。</w:t>
            </w:r>
          </w:p>
        </w:tc>
      </w:tr>
    </w:tbl>
    <w:p>
      <w:pPr>
        <w:snapToGrid w:val="0"/>
        <w:ind w:firstLine="480"/>
        <w:rPr>
          <w:color w:val="auto"/>
        </w:rPr>
      </w:pPr>
      <w:bookmarkStart w:id="110" w:name="_Hlk214916061"/>
      <w:r>
        <w:rPr>
          <w:rFonts w:hint="eastAsia"/>
          <w:color w:val="auto"/>
        </w:rPr>
        <w:t>监测结果表明：本项目厂界全部监测点昼、夜噪声符合《工业企业厂界环境噪声排放标准》（GB12348-2008）3类标准。</w:t>
      </w:r>
    </w:p>
    <w:bookmarkEnd w:id="110"/>
    <w:p>
      <w:pPr>
        <w:pStyle w:val="3"/>
        <w:rPr>
          <w:color w:val="auto"/>
        </w:rPr>
      </w:pPr>
      <w:bookmarkStart w:id="111" w:name="_Toc18906"/>
      <w:r>
        <w:rPr>
          <w:rFonts w:hint="eastAsia"/>
          <w:color w:val="auto"/>
        </w:rPr>
        <w:t>污染物排放总量核算</w:t>
      </w:r>
      <w:bookmarkEnd w:id="111"/>
    </w:p>
    <w:p>
      <w:pPr>
        <w:ind w:firstLine="482"/>
        <w:rPr>
          <w:b/>
          <w:color w:val="auto"/>
        </w:rPr>
      </w:pPr>
      <w:r>
        <w:rPr>
          <w:rFonts w:hint="eastAsia"/>
          <w:b/>
          <w:color w:val="auto"/>
        </w:rPr>
        <w:t>1、水污染物排放总量核算</w:t>
      </w:r>
    </w:p>
    <w:p>
      <w:pPr>
        <w:ind w:firstLine="480"/>
        <w:rPr>
          <w:rFonts w:cs="Times New Roman"/>
          <w:color w:val="auto"/>
          <w:szCs w:val="24"/>
        </w:rPr>
      </w:pPr>
      <w:r>
        <w:rPr>
          <w:rFonts w:hint="eastAsia" w:ascii="宋体" w:hAnsi="宋体" w:cs="Times New Roman"/>
          <w:color w:val="auto"/>
          <w:kern w:val="21"/>
          <w:szCs w:val="24"/>
        </w:rPr>
        <w:t>本项目生活污水经三级化粪池处理达标后，由市政污水管网排入水东湾新城水质净化厂集中处理</w:t>
      </w:r>
      <w:r>
        <w:rPr>
          <w:rFonts w:hint="eastAsia" w:ascii="宋体" w:hAnsi="宋体" w:cs="Times New Roman"/>
          <w:color w:val="auto"/>
          <w:kern w:val="0"/>
          <w:szCs w:val="24"/>
        </w:rPr>
        <w:t>；</w:t>
      </w:r>
      <w:r>
        <w:rPr>
          <w:rFonts w:hint="eastAsia" w:ascii="宋体" w:hAnsi="宋体" w:cs="Times New Roman"/>
          <w:color w:val="auto"/>
          <w:szCs w:val="24"/>
        </w:rPr>
        <w:t>喷淋塔及水帘柜</w:t>
      </w:r>
      <w:r>
        <w:rPr>
          <w:rFonts w:ascii="宋体" w:hAnsi="宋体" w:cs="Times New Roman"/>
          <w:color w:val="auto"/>
          <w:szCs w:val="24"/>
        </w:rPr>
        <w:t>更换的废水</w:t>
      </w:r>
      <w:r>
        <w:rPr>
          <w:rFonts w:hint="eastAsia" w:ascii="宋体" w:hAnsi="宋体" w:cs="Times New Roman"/>
          <w:color w:val="auto"/>
          <w:szCs w:val="24"/>
        </w:rPr>
        <w:t>近期达到茂名华清水务有限公司的进水标准通过槽罐车外运至茂名华清水务有限公司处理，远期待电白新材料产业园区污水处理厂建设完成后，达到园区污水处理厂的进水标准进入园区污水处理厂处理。</w:t>
      </w:r>
      <w:r>
        <w:rPr>
          <w:rFonts w:ascii="宋体" w:hAnsi="宋体" w:cs="Times New Roman"/>
          <w:color w:val="auto"/>
          <w:szCs w:val="24"/>
        </w:rPr>
        <w:t>因此本项目不再另设</w:t>
      </w:r>
      <w:r>
        <w:rPr>
          <w:rFonts w:cs="Times New Roman"/>
          <w:color w:val="auto"/>
          <w:szCs w:val="24"/>
        </w:rPr>
        <w:t>COD</w:t>
      </w:r>
      <w:r>
        <w:rPr>
          <w:rFonts w:cs="Times New Roman"/>
          <w:color w:val="auto"/>
          <w:szCs w:val="24"/>
          <w:vertAlign w:val="subscript"/>
        </w:rPr>
        <w:t>Cr</w:t>
      </w:r>
      <w:r>
        <w:rPr>
          <w:rFonts w:ascii="宋体" w:hAnsi="宋体" w:cs="Times New Roman"/>
          <w:color w:val="auto"/>
          <w:szCs w:val="24"/>
        </w:rPr>
        <w:t>和</w:t>
      </w:r>
      <w:r>
        <w:rPr>
          <w:rFonts w:hint="eastAsia" w:cs="Times New Roman"/>
          <w:color w:val="auto"/>
          <w:szCs w:val="24"/>
        </w:rPr>
        <w:t>NH</w:t>
      </w:r>
      <w:r>
        <w:rPr>
          <w:rFonts w:hint="eastAsia" w:cs="Times New Roman"/>
          <w:color w:val="auto"/>
          <w:szCs w:val="24"/>
          <w:vertAlign w:val="subscript"/>
        </w:rPr>
        <w:t>3</w:t>
      </w:r>
      <w:r>
        <w:rPr>
          <w:rFonts w:hint="eastAsia" w:cs="Times New Roman"/>
          <w:color w:val="auto"/>
          <w:szCs w:val="24"/>
        </w:rPr>
        <w:t>-N</w:t>
      </w:r>
      <w:r>
        <w:rPr>
          <w:rFonts w:ascii="宋体" w:hAnsi="宋体" w:cs="Times New Roman"/>
          <w:color w:val="auto"/>
          <w:szCs w:val="24"/>
        </w:rPr>
        <w:t>的总量控制指标。</w:t>
      </w:r>
    </w:p>
    <w:p>
      <w:pPr>
        <w:ind w:firstLine="482"/>
        <w:rPr>
          <w:rFonts w:cs="Times New Roman"/>
          <w:b/>
          <w:color w:val="auto"/>
          <w:szCs w:val="24"/>
        </w:rPr>
      </w:pPr>
      <w:r>
        <w:rPr>
          <w:rFonts w:cs="Times New Roman"/>
          <w:b/>
          <w:color w:val="auto"/>
          <w:szCs w:val="24"/>
        </w:rPr>
        <w:t>2、大气污染物排放总量核算</w:t>
      </w:r>
    </w:p>
    <w:p>
      <w:pPr>
        <w:pStyle w:val="44"/>
        <w:spacing w:line="360" w:lineRule="auto"/>
        <w:ind w:firstLine="480"/>
        <w:rPr>
          <w:rFonts w:ascii="Times New Roman" w:hAnsi="Times New Roman" w:cs="Times New Roman"/>
          <w:color w:val="auto"/>
        </w:rPr>
      </w:pPr>
      <w:r>
        <w:rPr>
          <w:rFonts w:ascii="Times New Roman" w:hAnsi="Times New Roman" w:cs="Times New Roman"/>
          <w:color w:val="auto"/>
        </w:rPr>
        <w:t>根据环评及批复，本项目建成后，废气主要污染物挥发性有机物、氮氧化物排放量分别为</w:t>
      </w:r>
      <w:bookmarkStart w:id="112" w:name="_Hlk217557550"/>
      <w:r>
        <w:rPr>
          <w:rFonts w:ascii="Times New Roman" w:hAnsi="Times New Roman" w:cs="Times New Roman"/>
          <w:color w:val="auto"/>
        </w:rPr>
        <w:t>0.4088</w:t>
      </w:r>
      <w:bookmarkEnd w:id="112"/>
      <w:r>
        <w:rPr>
          <w:rFonts w:ascii="Times New Roman" w:hAnsi="Times New Roman" w:cs="Times New Roman"/>
          <w:color w:val="auto"/>
        </w:rPr>
        <w:t>吨/年、0.0684吨/年，其中挥发性有机物从2021年茂名普天商贸发展有限公司挥发性有机物减排量剩余总量中等量替代、氮氧化物从茂名市2021年老旧机动车氮氧化物减排量剩余总量中等量替代。</w:t>
      </w:r>
    </w:p>
    <w:p>
      <w:pPr>
        <w:pStyle w:val="44"/>
        <w:spacing w:line="360" w:lineRule="auto"/>
        <w:ind w:firstLine="480"/>
        <w:rPr>
          <w:rFonts w:ascii="Times New Roman" w:cs="Times New Roman"/>
          <w:color w:val="auto"/>
        </w:rPr>
      </w:pPr>
      <w:r>
        <w:rPr>
          <w:rFonts w:hint="eastAsia" w:ascii="Times New Roman" w:cs="Times New Roman"/>
          <w:color w:val="auto"/>
        </w:rPr>
        <w:t>根据本次监测数据计算，本项目大气污染物实际排放量情况见下表9</w:t>
      </w:r>
      <w:r>
        <w:rPr>
          <w:rFonts w:ascii="Times New Roman" w:cs="Times New Roman"/>
          <w:color w:val="auto"/>
        </w:rPr>
        <w:t>.2-</w:t>
      </w:r>
      <w:r>
        <w:rPr>
          <w:rFonts w:hint="eastAsia" w:ascii="Times New Roman" w:cs="Times New Roman"/>
          <w:color w:val="auto"/>
        </w:rPr>
        <w:t>1。</w:t>
      </w:r>
    </w:p>
    <w:p>
      <w:pPr>
        <w:pStyle w:val="44"/>
        <w:spacing w:line="360" w:lineRule="auto"/>
        <w:jc w:val="center"/>
        <w:rPr>
          <w:rFonts w:ascii="Times New Roman" w:cs="Times New Roman"/>
          <w:b/>
          <w:color w:val="auto"/>
          <w:sz w:val="21"/>
          <w:szCs w:val="21"/>
        </w:rPr>
      </w:pPr>
      <w:r>
        <w:rPr>
          <w:rFonts w:hint="eastAsia" w:ascii="Times New Roman" w:cs="Times New Roman"/>
          <w:b/>
          <w:color w:val="auto"/>
          <w:sz w:val="21"/>
          <w:szCs w:val="21"/>
        </w:rPr>
        <w:t>表9.2-1 污染物实际排放量情况</w:t>
      </w:r>
    </w:p>
    <w:tbl>
      <w:tblPr>
        <w:tblStyle w:val="24"/>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50"/>
        <w:gridCol w:w="2032"/>
        <w:gridCol w:w="47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750" w:type="dxa"/>
            <w:vAlign w:val="center"/>
          </w:tcPr>
          <w:p>
            <w:pPr>
              <w:pStyle w:val="49"/>
              <w:widowControl w:val="0"/>
              <w:ind w:firstLine="0" w:firstLineChars="0"/>
              <w:jc w:val="center"/>
              <w:rPr>
                <w:rFonts w:ascii="Times New Roman" w:hAnsi="Times New Roman"/>
                <w:color w:val="auto"/>
                <w:sz w:val="21"/>
                <w:szCs w:val="21"/>
              </w:rPr>
            </w:pPr>
            <w:r>
              <w:rPr>
                <w:rFonts w:ascii="Times New Roman" w:hAnsi="Times New Roman"/>
                <w:color w:val="auto"/>
                <w:sz w:val="21"/>
                <w:szCs w:val="21"/>
              </w:rPr>
              <w:t>污染物类别</w:t>
            </w:r>
          </w:p>
        </w:tc>
        <w:tc>
          <w:tcPr>
            <w:tcW w:w="2032" w:type="dxa"/>
            <w:vAlign w:val="center"/>
          </w:tcPr>
          <w:p>
            <w:pPr>
              <w:pStyle w:val="49"/>
              <w:widowControl w:val="0"/>
              <w:ind w:firstLine="0" w:firstLineChars="0"/>
              <w:jc w:val="center"/>
              <w:rPr>
                <w:rFonts w:ascii="Times New Roman" w:hAnsi="Times New Roman"/>
                <w:color w:val="auto"/>
                <w:sz w:val="21"/>
                <w:szCs w:val="21"/>
              </w:rPr>
            </w:pPr>
            <w:r>
              <w:rPr>
                <w:rFonts w:ascii="Times New Roman" w:hAnsi="Times New Roman"/>
                <w:color w:val="auto"/>
                <w:sz w:val="21"/>
                <w:szCs w:val="21"/>
              </w:rPr>
              <w:t>污染物名称</w:t>
            </w:r>
          </w:p>
        </w:tc>
        <w:tc>
          <w:tcPr>
            <w:tcW w:w="4740" w:type="dxa"/>
            <w:vAlign w:val="center"/>
          </w:tcPr>
          <w:p>
            <w:pPr>
              <w:pStyle w:val="49"/>
              <w:widowControl w:val="0"/>
              <w:ind w:firstLine="0" w:firstLineChars="0"/>
              <w:jc w:val="center"/>
              <w:rPr>
                <w:rFonts w:ascii="Times New Roman" w:hAnsi="Times New Roman"/>
                <w:color w:val="auto"/>
                <w:sz w:val="21"/>
                <w:szCs w:val="21"/>
              </w:rPr>
            </w:pPr>
            <w:r>
              <w:rPr>
                <w:rFonts w:ascii="Times New Roman" w:hAnsi="Times New Roman"/>
                <w:color w:val="auto"/>
                <w:sz w:val="21"/>
                <w:szCs w:val="21"/>
              </w:rPr>
              <w:t>本项目</w:t>
            </w:r>
            <w:r>
              <w:rPr>
                <w:rFonts w:hint="eastAsia" w:ascii="Times New Roman" w:hAnsi="Times New Roman"/>
                <w:color w:val="auto"/>
                <w:sz w:val="21"/>
                <w:szCs w:val="21"/>
              </w:rPr>
              <w:t>实际</w:t>
            </w:r>
            <w:r>
              <w:rPr>
                <w:rFonts w:ascii="Times New Roman" w:hAnsi="Times New Roman"/>
                <w:color w:val="auto"/>
                <w:sz w:val="21"/>
                <w:szCs w:val="21"/>
              </w:rPr>
              <w:t>排放量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750" w:type="dxa"/>
            <w:vMerge w:val="restart"/>
            <w:vAlign w:val="center"/>
          </w:tcPr>
          <w:p>
            <w:pPr>
              <w:pStyle w:val="49"/>
              <w:widowControl w:val="0"/>
              <w:ind w:firstLine="0" w:firstLineChars="0"/>
              <w:jc w:val="center"/>
              <w:rPr>
                <w:rFonts w:ascii="Times New Roman" w:hAnsi="Times New Roman"/>
                <w:color w:val="auto"/>
                <w:sz w:val="21"/>
                <w:szCs w:val="21"/>
              </w:rPr>
            </w:pPr>
            <w:r>
              <w:rPr>
                <w:rFonts w:ascii="Times New Roman" w:hAnsi="Times New Roman"/>
                <w:color w:val="auto"/>
                <w:sz w:val="21"/>
                <w:szCs w:val="21"/>
              </w:rPr>
              <w:t>废气</w:t>
            </w:r>
          </w:p>
        </w:tc>
        <w:tc>
          <w:tcPr>
            <w:tcW w:w="2032" w:type="dxa"/>
            <w:vAlign w:val="center"/>
          </w:tcPr>
          <w:p>
            <w:pPr>
              <w:pStyle w:val="49"/>
              <w:widowControl w:val="0"/>
              <w:ind w:firstLine="0" w:firstLineChars="0"/>
              <w:jc w:val="center"/>
              <w:rPr>
                <w:rFonts w:ascii="Times New Roman" w:hAnsi="Times New Roman"/>
                <w:color w:val="auto"/>
                <w:sz w:val="21"/>
                <w:szCs w:val="21"/>
              </w:rPr>
            </w:pPr>
            <w:r>
              <w:rPr>
                <w:rFonts w:hint="eastAsia" w:ascii="Times New Roman" w:hAnsi="Times New Roman"/>
                <w:color w:val="auto"/>
                <w:sz w:val="21"/>
                <w:szCs w:val="21"/>
              </w:rPr>
              <w:t>氮氧化物</w:t>
            </w:r>
          </w:p>
        </w:tc>
        <w:tc>
          <w:tcPr>
            <w:tcW w:w="4740" w:type="dxa"/>
            <w:vAlign w:val="center"/>
          </w:tcPr>
          <w:p>
            <w:pPr>
              <w:pStyle w:val="49"/>
              <w:widowControl w:val="0"/>
              <w:ind w:firstLine="0" w:firstLineChars="0"/>
              <w:jc w:val="center"/>
              <w:rPr>
                <w:rFonts w:ascii="Times New Roman" w:hAnsi="Times New Roman"/>
                <w:color w:val="auto"/>
                <w:sz w:val="21"/>
                <w:szCs w:val="21"/>
              </w:rPr>
            </w:pPr>
            <w:r>
              <w:rPr>
                <w:rFonts w:ascii="Times New Roman" w:hAnsi="Times New Roman"/>
                <w:color w:val="auto"/>
                <w:sz w:val="21"/>
                <w:szCs w:val="21"/>
              </w:rPr>
              <w:t>未检出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1750" w:type="dxa"/>
            <w:vMerge w:val="continue"/>
            <w:vAlign w:val="center"/>
          </w:tcPr>
          <w:p>
            <w:pPr>
              <w:pStyle w:val="49"/>
              <w:widowControl w:val="0"/>
              <w:ind w:firstLine="0" w:firstLineChars="0"/>
              <w:jc w:val="center"/>
              <w:rPr>
                <w:rFonts w:ascii="Times New Roman" w:hAnsi="Times New Roman"/>
                <w:color w:val="auto"/>
                <w:sz w:val="21"/>
                <w:szCs w:val="21"/>
              </w:rPr>
            </w:pPr>
          </w:p>
        </w:tc>
        <w:tc>
          <w:tcPr>
            <w:tcW w:w="2032" w:type="dxa"/>
            <w:vAlign w:val="center"/>
          </w:tcPr>
          <w:p>
            <w:pPr>
              <w:pStyle w:val="49"/>
              <w:widowControl w:val="0"/>
              <w:ind w:firstLine="0" w:firstLineChars="0"/>
              <w:jc w:val="center"/>
              <w:rPr>
                <w:rFonts w:ascii="Times New Roman" w:hAnsi="Times New Roman"/>
                <w:color w:val="auto"/>
                <w:sz w:val="21"/>
                <w:szCs w:val="21"/>
              </w:rPr>
            </w:pPr>
            <w:r>
              <w:rPr>
                <w:rFonts w:hint="eastAsia" w:ascii="Times New Roman" w:hAnsi="Times New Roman"/>
                <w:color w:val="auto"/>
                <w:sz w:val="21"/>
                <w:szCs w:val="21"/>
              </w:rPr>
              <w:t>总VOCs</w:t>
            </w:r>
          </w:p>
        </w:tc>
        <w:tc>
          <w:tcPr>
            <w:tcW w:w="4740" w:type="dxa"/>
            <w:vAlign w:val="center"/>
          </w:tcPr>
          <w:p>
            <w:pPr>
              <w:pStyle w:val="49"/>
              <w:widowControl w:val="0"/>
              <w:ind w:firstLine="0" w:firstLineChars="0"/>
              <w:jc w:val="center"/>
              <w:rPr>
                <w:rFonts w:ascii="Times New Roman" w:hAnsi="Times New Roman"/>
                <w:color w:val="auto"/>
                <w:sz w:val="21"/>
                <w:szCs w:val="21"/>
              </w:rPr>
            </w:pPr>
            <w:r>
              <w:rPr>
                <w:rFonts w:hint="eastAsia" w:ascii="Times New Roman" w:hAnsi="Times New Roman"/>
                <w:color w:val="auto"/>
                <w:sz w:val="21"/>
                <w:szCs w:val="21"/>
              </w:rPr>
              <w:t>有组织：</w:t>
            </w:r>
            <w:r>
              <w:rPr>
                <w:rFonts w:ascii="Times New Roman" w:hAnsi="Times New Roman"/>
                <w:color w:val="auto"/>
                <w:sz w:val="21"/>
                <w:szCs w:val="21"/>
              </w:rPr>
              <w:t xml:space="preserve">0.047 </w:t>
            </w:r>
            <w:r>
              <w:rPr>
                <w:rFonts w:hint="eastAsia" w:ascii="Times New Roman" w:hAnsi="Times New Roman"/>
                <w:color w:val="auto"/>
                <w:sz w:val="21"/>
                <w:szCs w:val="21"/>
              </w:rPr>
              <w:t>kg/h</w:t>
            </w:r>
            <w:r>
              <w:rPr>
                <w:rFonts w:ascii="Arial" w:hAnsi="Arial" w:cs="Arial"/>
                <w:color w:val="auto"/>
                <w:sz w:val="21"/>
                <w:szCs w:val="21"/>
              </w:rPr>
              <w:t>×</w:t>
            </w:r>
            <w:r>
              <w:rPr>
                <w:rFonts w:hint="eastAsia" w:ascii="Times New Roman" w:hAnsi="Times New Roman"/>
                <w:color w:val="auto"/>
                <w:sz w:val="21"/>
                <w:szCs w:val="21"/>
              </w:rPr>
              <w:t>2400h/a</w:t>
            </w:r>
            <w:r>
              <w:rPr>
                <w:rFonts w:ascii="Arial" w:hAnsi="Arial" w:cs="Arial"/>
                <w:color w:val="auto"/>
                <w:sz w:val="21"/>
                <w:szCs w:val="21"/>
              </w:rPr>
              <w:t>÷</w:t>
            </w:r>
            <w:r>
              <w:rPr>
                <w:rFonts w:hint="eastAsia" w:ascii="Times New Roman" w:hAnsi="Times New Roman"/>
                <w:color w:val="auto"/>
                <w:sz w:val="21"/>
                <w:szCs w:val="21"/>
              </w:rPr>
              <w:t>1000=</w:t>
            </w:r>
            <w:r>
              <w:rPr>
                <w:rFonts w:ascii="Times New Roman" w:hAnsi="Times New Roman"/>
                <w:color w:val="auto"/>
                <w:sz w:val="21"/>
                <w:szCs w:val="21"/>
              </w:rPr>
              <w:t>0.1128t/a</w:t>
            </w:r>
            <w:r>
              <w:rPr>
                <w:rFonts w:hint="eastAsia" w:ascii="Times New Roman" w:hAnsi="Times New Roman"/>
                <w:color w:val="auto"/>
                <w:sz w:val="21"/>
                <w:szCs w:val="21"/>
              </w:rPr>
              <w:t xml:space="preserve"> </w:t>
            </w:r>
          </w:p>
          <w:p>
            <w:pPr>
              <w:pStyle w:val="49"/>
              <w:widowControl w:val="0"/>
              <w:ind w:firstLine="0" w:firstLineChars="0"/>
              <w:jc w:val="center"/>
              <w:rPr>
                <w:rFonts w:ascii="Times New Roman" w:hAnsi="Times New Roman"/>
                <w:color w:val="auto"/>
                <w:sz w:val="21"/>
                <w:szCs w:val="21"/>
              </w:rPr>
            </w:pPr>
            <w:r>
              <w:rPr>
                <w:rFonts w:hint="eastAsia" w:ascii="Times New Roman" w:hAnsi="Times New Roman"/>
                <w:color w:val="auto"/>
                <w:sz w:val="21"/>
                <w:szCs w:val="21"/>
              </w:rPr>
              <w:t>无组织：</w:t>
            </w:r>
            <w:r>
              <w:rPr>
                <w:rFonts w:ascii="Times New Roman" w:hAnsi="Times New Roman"/>
                <w:color w:val="auto"/>
                <w:sz w:val="21"/>
                <w:szCs w:val="21"/>
              </w:rPr>
              <w:t>0.0</w:t>
            </w:r>
            <w:r>
              <w:rPr>
                <w:rFonts w:hint="eastAsia" w:ascii="Times New Roman" w:hAnsi="Times New Roman"/>
                <w:color w:val="auto"/>
                <w:sz w:val="21"/>
                <w:szCs w:val="21"/>
              </w:rPr>
              <w:t>52</w:t>
            </w:r>
            <w:r>
              <w:rPr>
                <w:rFonts w:ascii="Times New Roman" w:hAnsi="Times New Roman"/>
                <w:color w:val="auto"/>
                <w:sz w:val="21"/>
                <w:szCs w:val="21"/>
              </w:rPr>
              <w:t xml:space="preserve"> kg/h×2400h/a÷1000=0.1</w:t>
            </w:r>
            <w:r>
              <w:rPr>
                <w:rFonts w:hint="eastAsia" w:ascii="Times New Roman" w:hAnsi="Times New Roman"/>
                <w:color w:val="auto"/>
                <w:sz w:val="21"/>
                <w:szCs w:val="21"/>
              </w:rPr>
              <w:t>248</w:t>
            </w:r>
            <w:r>
              <w:rPr>
                <w:rFonts w:ascii="Times New Roman" w:hAnsi="Times New Roman"/>
                <w:color w:val="auto"/>
                <w:sz w:val="21"/>
                <w:szCs w:val="21"/>
              </w:rPr>
              <w:t>t/a</w:t>
            </w:r>
          </w:p>
          <w:p>
            <w:pPr>
              <w:pStyle w:val="49"/>
              <w:widowControl w:val="0"/>
              <w:ind w:firstLine="0" w:firstLineChars="0"/>
              <w:jc w:val="center"/>
              <w:rPr>
                <w:rFonts w:ascii="Times New Roman" w:hAnsi="Times New Roman"/>
                <w:color w:val="auto"/>
                <w:sz w:val="21"/>
                <w:szCs w:val="21"/>
              </w:rPr>
            </w:pPr>
            <w:r>
              <w:rPr>
                <w:rFonts w:hint="eastAsia" w:ascii="Times New Roman" w:hAnsi="Times New Roman"/>
                <w:color w:val="auto"/>
                <w:sz w:val="21"/>
                <w:szCs w:val="21"/>
              </w:rPr>
              <w:t>排放量：0.1128+0.1248=0.2376</w:t>
            </w:r>
            <w:r>
              <w:rPr>
                <w:color w:val="auto"/>
              </w:rPr>
              <w:t xml:space="preserve"> </w:t>
            </w:r>
            <w:r>
              <w:rPr>
                <w:rFonts w:ascii="Times New Roman" w:hAnsi="Times New Roman"/>
                <w:color w:val="auto"/>
                <w:sz w:val="21"/>
                <w:szCs w:val="21"/>
              </w:rPr>
              <w:t>t/a</w:t>
            </w:r>
          </w:p>
        </w:tc>
      </w:tr>
    </w:tbl>
    <w:p>
      <w:pPr>
        <w:pStyle w:val="44"/>
        <w:spacing w:line="360" w:lineRule="auto"/>
        <w:ind w:firstLine="482"/>
        <w:rPr>
          <w:rFonts w:ascii="Times New Roman" w:cs="Times New Roman"/>
          <w:b/>
          <w:color w:val="auto"/>
        </w:rPr>
      </w:pPr>
      <w:r>
        <w:rPr>
          <w:rFonts w:hint="eastAsia" w:ascii="Times New Roman" w:cs="Times New Roman"/>
          <w:color w:val="auto"/>
        </w:rPr>
        <w:t>根据本次监测数据计算得出，氮氧化物未检出，总VOCs排放量为</w:t>
      </w:r>
      <w:r>
        <w:rPr>
          <w:rFonts w:ascii="Times New Roman" w:cs="Times New Roman"/>
          <w:color w:val="auto"/>
        </w:rPr>
        <w:t>0.</w:t>
      </w:r>
      <w:r>
        <w:rPr>
          <w:rFonts w:hint="eastAsia" w:ascii="Times New Roman" w:cs="Times New Roman"/>
          <w:color w:val="auto"/>
        </w:rPr>
        <w:t>2376吨/年小于环评及批复规定的总量控制指标</w:t>
      </w:r>
      <w:r>
        <w:rPr>
          <w:rFonts w:hint="eastAsia"/>
          <w:color w:val="auto"/>
          <w:kern w:val="0"/>
        </w:rPr>
        <w:t>VOCs</w:t>
      </w:r>
      <w:r>
        <w:rPr>
          <w:rFonts w:hint="eastAsia" w:hAnsi="宋体"/>
          <w:color w:val="auto"/>
          <w:kern w:val="0"/>
        </w:rPr>
        <w:t>排放量</w:t>
      </w:r>
      <w:r>
        <w:rPr>
          <w:color w:val="auto"/>
          <w:kern w:val="0"/>
        </w:rPr>
        <w:t>0.4088</w:t>
      </w:r>
      <w:r>
        <w:rPr>
          <w:rFonts w:hint="eastAsia" w:hAnsi="宋体"/>
          <w:color w:val="auto"/>
          <w:kern w:val="0"/>
        </w:rPr>
        <w:t>吨</w:t>
      </w:r>
      <w:r>
        <w:rPr>
          <w:rFonts w:hint="eastAsia"/>
          <w:color w:val="auto"/>
          <w:kern w:val="0"/>
        </w:rPr>
        <w:t>/</w:t>
      </w:r>
      <w:r>
        <w:rPr>
          <w:rFonts w:hint="eastAsia" w:hAnsi="宋体"/>
          <w:color w:val="auto"/>
          <w:kern w:val="0"/>
        </w:rPr>
        <w:t>年</w:t>
      </w:r>
      <w:r>
        <w:rPr>
          <w:rFonts w:hint="eastAsia" w:ascii="Times New Roman" w:cs="Times New Roman"/>
          <w:color w:val="auto"/>
        </w:rPr>
        <w:t>；故满足环评及批复总量控制要求。</w:t>
      </w:r>
    </w:p>
    <w:p>
      <w:pPr>
        <w:pStyle w:val="69"/>
        <w:rPr>
          <w:color w:val="auto"/>
          <w:highlight w:val="yellow"/>
        </w:rPr>
      </w:pPr>
    </w:p>
    <w:p>
      <w:pPr>
        <w:ind w:firstLine="480"/>
        <w:rPr>
          <w:color w:val="auto"/>
          <w:highlight w:val="yellow"/>
        </w:rPr>
        <w:sectPr>
          <w:pgSz w:w="11906" w:h="16838"/>
          <w:pgMar w:top="1440" w:right="1800" w:bottom="1440" w:left="1800" w:header="851" w:footer="992" w:gutter="0"/>
          <w:cols w:space="425" w:num="1"/>
          <w:docGrid w:type="lines" w:linePitch="312" w:charSpace="0"/>
        </w:sectPr>
      </w:pPr>
    </w:p>
    <w:p>
      <w:pPr>
        <w:pStyle w:val="2"/>
        <w:rPr>
          <w:color w:val="auto"/>
        </w:rPr>
      </w:pPr>
      <w:bookmarkStart w:id="113" w:name="_Toc13609"/>
      <w:r>
        <w:rPr>
          <w:rFonts w:hint="eastAsia"/>
          <w:color w:val="auto"/>
        </w:rPr>
        <w:t>验收监测结论</w:t>
      </w:r>
      <w:bookmarkEnd w:id="113"/>
    </w:p>
    <w:p>
      <w:pPr>
        <w:pStyle w:val="3"/>
        <w:rPr>
          <w:color w:val="auto"/>
        </w:rPr>
      </w:pPr>
      <w:bookmarkStart w:id="114" w:name="_Toc12647"/>
      <w:r>
        <w:rPr>
          <w:rFonts w:hint="eastAsia"/>
          <w:color w:val="auto"/>
        </w:rPr>
        <w:t>环保设施调试运行效果</w:t>
      </w:r>
      <w:bookmarkEnd w:id="114"/>
    </w:p>
    <w:p>
      <w:pPr>
        <w:pStyle w:val="4"/>
        <w:rPr>
          <w:color w:val="auto"/>
        </w:rPr>
      </w:pPr>
      <w:bookmarkStart w:id="115" w:name="_Toc156491683"/>
      <w:bookmarkStart w:id="116" w:name="_Toc17502"/>
      <w:bookmarkStart w:id="117" w:name="_Toc164292306"/>
      <w:r>
        <w:rPr>
          <w:rFonts w:hint="eastAsia"/>
          <w:color w:val="auto"/>
        </w:rPr>
        <w:t>废水</w:t>
      </w:r>
      <w:bookmarkEnd w:id="115"/>
      <w:bookmarkEnd w:id="116"/>
      <w:bookmarkEnd w:id="117"/>
    </w:p>
    <w:p>
      <w:pPr>
        <w:ind w:firstLine="480"/>
        <w:rPr>
          <w:rFonts w:cs="Times New Roman"/>
          <w:color w:val="auto"/>
        </w:rPr>
      </w:pPr>
      <w:r>
        <w:rPr>
          <w:rFonts w:cs="Times New Roman"/>
          <w:color w:val="auto"/>
        </w:rPr>
        <w:t>监测结果表明：</w:t>
      </w:r>
      <w:r>
        <w:rPr>
          <w:rFonts w:hint="eastAsia" w:cs="Times New Roman"/>
          <w:color w:val="auto"/>
        </w:rPr>
        <w:t>本项目综合废水排放口W1水污染物排放浓度范围为：pH：6.9~7.1（无量纲），悬浮物：33～43mg/L，化学需氧量：106～139mg/L，五日生化需氧量：35～48mg/L，氨氮：5.80～6.42mg/L，动植物油：5.84～6.66mg/L。本项目生活污水中各污染物排放浓度</w:t>
      </w:r>
      <w:r>
        <w:rPr>
          <w:rFonts w:cs="Times New Roman"/>
          <w:color w:val="auto"/>
        </w:rPr>
        <w:t>均符合</w:t>
      </w:r>
      <w:r>
        <w:rPr>
          <w:rFonts w:hint="eastAsia" w:ascii="宋体" w:hAnsi="宋体" w:cs="宋体"/>
          <w:color w:val="auto"/>
        </w:rPr>
        <w:t>广东省《水污染物排放限值》（DB44/26-2001）第二时段三级标准</w:t>
      </w:r>
      <w:r>
        <w:rPr>
          <w:rFonts w:cs="Times New Roman"/>
          <w:color w:val="auto"/>
        </w:rPr>
        <w:t>。</w:t>
      </w:r>
    </w:p>
    <w:p>
      <w:pPr>
        <w:pStyle w:val="4"/>
        <w:rPr>
          <w:color w:val="auto"/>
        </w:rPr>
      </w:pPr>
      <w:bookmarkStart w:id="118" w:name="_Toc28122"/>
      <w:bookmarkStart w:id="119" w:name="_Toc164292307"/>
      <w:bookmarkStart w:id="120" w:name="_Toc156491684"/>
      <w:r>
        <w:rPr>
          <w:rFonts w:hint="eastAsia"/>
          <w:color w:val="auto"/>
        </w:rPr>
        <w:t>废气</w:t>
      </w:r>
      <w:bookmarkEnd w:id="118"/>
      <w:bookmarkEnd w:id="119"/>
      <w:bookmarkEnd w:id="120"/>
    </w:p>
    <w:p>
      <w:pPr>
        <w:ind w:firstLine="480"/>
        <w:rPr>
          <w:color w:val="auto"/>
        </w:rPr>
      </w:pPr>
      <w:r>
        <w:rPr>
          <w:rFonts w:hint="eastAsia"/>
          <w:color w:val="auto"/>
        </w:rPr>
        <w:t>监测结果表明：无组织废气颗粒物排放浓度范围为：0.102~0.290mg/m</w:t>
      </w:r>
      <w:r>
        <w:rPr>
          <w:rFonts w:hint="eastAsia"/>
          <w:color w:val="auto"/>
          <w:vertAlign w:val="superscript"/>
        </w:rPr>
        <w:t>3</w:t>
      </w:r>
      <w:r>
        <w:rPr>
          <w:rFonts w:hint="eastAsia"/>
          <w:color w:val="auto"/>
        </w:rPr>
        <w:t>；锰及其化合物：不存在；镍及其化合物：不存在；二氧化硫浓度范围为：0.010~0.061mg/m</w:t>
      </w:r>
      <w:r>
        <w:rPr>
          <w:rFonts w:hint="eastAsia"/>
          <w:color w:val="auto"/>
          <w:vertAlign w:val="superscript"/>
        </w:rPr>
        <w:t>3</w:t>
      </w:r>
      <w:r>
        <w:rPr>
          <w:rFonts w:hint="eastAsia"/>
          <w:color w:val="auto"/>
        </w:rPr>
        <w:t>；氮氧化物浓度范围为：0.006~0.025mg/m</w:t>
      </w:r>
      <w:r>
        <w:rPr>
          <w:rFonts w:hint="eastAsia"/>
          <w:color w:val="auto"/>
          <w:vertAlign w:val="superscript"/>
        </w:rPr>
        <w:t>3</w:t>
      </w:r>
      <w:r>
        <w:rPr>
          <w:rFonts w:hint="eastAsia"/>
          <w:color w:val="auto"/>
        </w:rPr>
        <w:t>，非甲烷总烃浓度范围为：1.51~1.72mg/m</w:t>
      </w:r>
      <w:r>
        <w:rPr>
          <w:rFonts w:hint="eastAsia"/>
          <w:color w:val="auto"/>
          <w:vertAlign w:val="superscript"/>
        </w:rPr>
        <w:t>3</w:t>
      </w:r>
      <w:r>
        <w:rPr>
          <w:rFonts w:hint="eastAsia"/>
          <w:color w:val="auto"/>
        </w:rPr>
        <w:t>；臭气浓度：11~18（无量纲）。</w:t>
      </w:r>
    </w:p>
    <w:p>
      <w:pPr>
        <w:ind w:firstLine="480"/>
        <w:rPr>
          <w:color w:val="auto"/>
        </w:rPr>
      </w:pPr>
      <w:r>
        <w:rPr>
          <w:rFonts w:hint="eastAsia"/>
          <w:color w:val="auto"/>
        </w:rPr>
        <w:t>本项目无组织废气非甲烷总烃执行广东省《固定污染源挥发性有机物综合排放标准》(DB44/2367-2022)表3厂区内VOCs无组织排放限值；其他项目执行广东省《大气污染物排放限值》（DB44/27-2001）第二时段无组织排放监控浓度限值；臭气浓度符合</w:t>
      </w:r>
      <w:r>
        <w:rPr>
          <w:rFonts w:hint="eastAsia" w:ascii="宋体" w:hAnsi="宋体" w:cs="宋体"/>
          <w:color w:val="auto"/>
          <w:szCs w:val="24"/>
        </w:rPr>
        <w:t>《恶臭污染物排放标准》(GB14554-93)中表1恶臭污染物厂界二级新扩改建标准</w:t>
      </w:r>
      <w:r>
        <w:rPr>
          <w:rFonts w:hint="eastAsia"/>
          <w:color w:val="auto"/>
        </w:rPr>
        <w:t>。</w:t>
      </w:r>
    </w:p>
    <w:p>
      <w:pPr>
        <w:ind w:firstLine="480"/>
        <w:rPr>
          <w:color w:val="auto"/>
        </w:rPr>
      </w:pPr>
      <w:r>
        <w:rPr>
          <w:rFonts w:hint="eastAsia"/>
          <w:color w:val="auto"/>
        </w:rPr>
        <w:t>有组织废气：喷粉固化废气、喷漆废气（喷漆房1）、烘干废气（烤漆炉1）、调漆废气、液化石油气燃烧废气（烤漆炉1和固化炉）、危废间废气排放口（DA001）的总VOCs的排放浓度：1.02</w:t>
      </w:r>
      <w:r>
        <w:rPr>
          <w:color w:val="auto"/>
        </w:rPr>
        <w:t>~</w:t>
      </w:r>
      <w:r>
        <w:rPr>
          <w:rFonts w:hint="eastAsia"/>
          <w:color w:val="auto"/>
        </w:rPr>
        <w:t>1.51</w:t>
      </w:r>
      <w:r>
        <w:rPr>
          <w:color w:val="auto"/>
        </w:rPr>
        <w:t>mg/m</w:t>
      </w:r>
      <w:r>
        <w:rPr>
          <w:color w:val="auto"/>
          <w:vertAlign w:val="superscript"/>
        </w:rPr>
        <w:t>3</w:t>
      </w:r>
      <w:r>
        <w:rPr>
          <w:rFonts w:hint="eastAsia"/>
          <w:color w:val="auto"/>
        </w:rPr>
        <w:t>，排放速率：</w:t>
      </w:r>
      <w:r>
        <w:rPr>
          <w:color w:val="auto"/>
        </w:rPr>
        <w:t>0.02kg/h</w:t>
      </w:r>
      <w:r>
        <w:rPr>
          <w:rFonts w:hint="eastAsia"/>
          <w:color w:val="auto"/>
        </w:rPr>
        <w:t>~0.030</w:t>
      </w:r>
      <w:r>
        <w:rPr>
          <w:color w:val="auto"/>
        </w:rPr>
        <w:t xml:space="preserve"> kg/h</w:t>
      </w:r>
      <w:r>
        <w:rPr>
          <w:rFonts w:hint="eastAsia"/>
          <w:color w:val="auto"/>
        </w:rPr>
        <w:t>；二甲苯：未检出；颗粒物排放浓度：20.5~21.7mg/m</w:t>
      </w:r>
      <w:r>
        <w:rPr>
          <w:rFonts w:hint="eastAsia"/>
          <w:color w:val="auto"/>
          <w:vertAlign w:val="superscript"/>
        </w:rPr>
        <w:t>3</w:t>
      </w:r>
      <w:r>
        <w:rPr>
          <w:rFonts w:hint="eastAsia"/>
          <w:color w:val="auto"/>
        </w:rPr>
        <w:t>，排放速率：0.41~0.44kg/h；二氧化硫：</w:t>
      </w:r>
      <w:bookmarkStart w:id="121" w:name="OLE_LINK46"/>
      <w:r>
        <w:rPr>
          <w:rFonts w:hint="eastAsia"/>
          <w:color w:val="auto"/>
        </w:rPr>
        <w:t>未检出</w:t>
      </w:r>
      <w:bookmarkEnd w:id="121"/>
      <w:r>
        <w:rPr>
          <w:rFonts w:hint="eastAsia"/>
          <w:color w:val="auto"/>
        </w:rPr>
        <w:t>；氮氧化物：未检出；臭气浓度：733~1738（无量纲）。</w:t>
      </w:r>
    </w:p>
    <w:p>
      <w:pPr>
        <w:ind w:firstLine="480"/>
        <w:rPr>
          <w:color w:val="auto"/>
        </w:rPr>
      </w:pPr>
      <w:r>
        <w:rPr>
          <w:rFonts w:ascii="宋体" w:hAnsi="宋体"/>
          <w:color w:val="auto"/>
        </w:rPr>
        <w:t>胶合有机废气、清抹有机废气、喷漆废气（喷漆房</w:t>
      </w:r>
      <w:r>
        <w:rPr>
          <w:color w:val="auto"/>
        </w:rPr>
        <w:t>2</w:t>
      </w:r>
      <w:r>
        <w:rPr>
          <w:rFonts w:ascii="宋体" w:hAnsi="宋体"/>
          <w:color w:val="auto"/>
        </w:rPr>
        <w:t>）、烘干废气（烤漆炉</w:t>
      </w:r>
      <w:r>
        <w:rPr>
          <w:color w:val="auto"/>
        </w:rPr>
        <w:t>2</w:t>
      </w:r>
      <w:r>
        <w:rPr>
          <w:rFonts w:ascii="宋体" w:hAnsi="宋体"/>
          <w:color w:val="auto"/>
        </w:rPr>
        <w:t>）、液化石油气燃烧废气（烤漆炉</w:t>
      </w:r>
      <w:r>
        <w:rPr>
          <w:color w:val="auto"/>
        </w:rPr>
        <w:t>2</w:t>
      </w:r>
      <w:r>
        <w:rPr>
          <w:rFonts w:ascii="宋体" w:hAnsi="宋体"/>
          <w:color w:val="auto"/>
        </w:rPr>
        <w:t>）废气排放口（</w:t>
      </w:r>
      <w:r>
        <w:rPr>
          <w:color w:val="auto"/>
        </w:rPr>
        <w:t>DA002</w:t>
      </w:r>
      <w:r>
        <w:rPr>
          <w:rFonts w:ascii="宋体" w:hAnsi="宋体"/>
          <w:color w:val="auto"/>
        </w:rPr>
        <w:t>）</w:t>
      </w:r>
      <w:r>
        <w:rPr>
          <w:rFonts w:hint="eastAsia"/>
          <w:color w:val="auto"/>
        </w:rPr>
        <w:t>总VOCs的排放浓度：1.08</w:t>
      </w:r>
      <w:r>
        <w:rPr>
          <w:color w:val="auto"/>
        </w:rPr>
        <w:t>~</w:t>
      </w:r>
      <w:r>
        <w:rPr>
          <w:rFonts w:hint="eastAsia"/>
          <w:color w:val="auto"/>
        </w:rPr>
        <w:t>1.33</w:t>
      </w:r>
      <w:r>
        <w:rPr>
          <w:color w:val="auto"/>
        </w:rPr>
        <w:t>mg/m</w:t>
      </w:r>
      <w:r>
        <w:rPr>
          <w:color w:val="auto"/>
          <w:vertAlign w:val="superscript"/>
        </w:rPr>
        <w:t>3</w:t>
      </w:r>
      <w:r>
        <w:rPr>
          <w:rFonts w:hint="eastAsia"/>
          <w:color w:val="auto"/>
        </w:rPr>
        <w:t>，排放速率：</w:t>
      </w:r>
      <w:r>
        <w:rPr>
          <w:color w:val="auto"/>
        </w:rPr>
        <w:t>0.02</w:t>
      </w:r>
      <w:r>
        <w:rPr>
          <w:rFonts w:hint="eastAsia"/>
          <w:color w:val="auto"/>
        </w:rPr>
        <w:t>2</w:t>
      </w:r>
      <w:r>
        <w:rPr>
          <w:color w:val="auto"/>
        </w:rPr>
        <w:t>kg/h</w:t>
      </w:r>
      <w:r>
        <w:rPr>
          <w:rFonts w:hint="eastAsia"/>
          <w:color w:val="auto"/>
        </w:rPr>
        <w:t>~0.027</w:t>
      </w:r>
      <w:r>
        <w:rPr>
          <w:color w:val="auto"/>
        </w:rPr>
        <w:t xml:space="preserve"> kg/h</w:t>
      </w:r>
      <w:r>
        <w:rPr>
          <w:rFonts w:hint="eastAsia"/>
          <w:color w:val="auto"/>
        </w:rPr>
        <w:t>；二甲苯：未检出；颗粒物排放浓度：20.9~22.7mg/m</w:t>
      </w:r>
      <w:r>
        <w:rPr>
          <w:rFonts w:hint="eastAsia"/>
          <w:color w:val="auto"/>
          <w:vertAlign w:val="superscript"/>
        </w:rPr>
        <w:t>3</w:t>
      </w:r>
      <w:r>
        <w:rPr>
          <w:rFonts w:hint="eastAsia"/>
          <w:color w:val="auto"/>
        </w:rPr>
        <w:t>，排放速率：0.41~0.46kg/h；二氧化硫：未检出；氮氧化物：未检出；臭气浓度：846~1738（无量纲）。</w:t>
      </w:r>
      <w:r>
        <w:rPr>
          <w:rFonts w:cs="Times New Roman"/>
          <w:color w:val="auto"/>
          <w:szCs w:val="24"/>
        </w:rPr>
        <w:t>厨房油烟排放口DA005基准浓度：1.21~1.71</w:t>
      </w:r>
      <w:r>
        <w:rPr>
          <w:rFonts w:cs="Times New Roman"/>
          <w:color w:val="auto"/>
        </w:rPr>
        <w:t xml:space="preserve"> mg/m</w:t>
      </w:r>
      <w:r>
        <w:rPr>
          <w:rFonts w:cs="Times New Roman"/>
          <w:color w:val="auto"/>
          <w:vertAlign w:val="superscript"/>
        </w:rPr>
        <w:t>3</w:t>
      </w:r>
      <w:r>
        <w:rPr>
          <w:rFonts w:cs="Times New Roman"/>
          <w:color w:val="auto"/>
        </w:rPr>
        <w:t>。</w:t>
      </w:r>
    </w:p>
    <w:p>
      <w:pPr>
        <w:ind w:firstLine="480"/>
        <w:rPr>
          <w:color w:val="auto"/>
          <w:highlight w:val="yellow"/>
        </w:rPr>
      </w:pPr>
      <w:r>
        <w:rPr>
          <w:rFonts w:hint="eastAsia"/>
          <w:color w:val="auto"/>
        </w:rPr>
        <w:t>本项目DA001、DA002的总VOCs、二甲苯执行广东省《固定污染源挥发性有机物综合排放标准》（DB44/ 2367—2022）表1中有机废气的最高允许浓度限值；颗粒物执行《关于印发〈工业炉窑大气污染综合治理方案〉的通知》（环大气〔2019〕56号）重点区域排放限值和广东省《大气污染物排放限值》（DB44/27-2001）第二时段二级标准（排放速率按50%执行）的较严值；二氧化硫、氮氧化物执行《关于印发〈工业炉窑大气污染综合治理方案〉的通知》（环大气〔2019〕56号）重点区域排放限值要求；厨房油烟排放口符合《饮食业油烟排放标准（试行）》（GB18483-2001）小型排放标准要求：（≤2.0mg/m³）。</w:t>
      </w:r>
    </w:p>
    <w:p>
      <w:pPr>
        <w:pStyle w:val="4"/>
        <w:rPr>
          <w:color w:val="auto"/>
        </w:rPr>
      </w:pPr>
      <w:bookmarkStart w:id="122" w:name="_Toc7665"/>
      <w:bookmarkStart w:id="123" w:name="_Toc164292308"/>
      <w:bookmarkStart w:id="124" w:name="_Toc156491685"/>
      <w:r>
        <w:rPr>
          <w:rFonts w:hint="eastAsia"/>
          <w:color w:val="auto"/>
        </w:rPr>
        <w:t>噪声</w:t>
      </w:r>
      <w:bookmarkEnd w:id="122"/>
      <w:bookmarkEnd w:id="123"/>
      <w:bookmarkEnd w:id="124"/>
    </w:p>
    <w:p>
      <w:pPr>
        <w:ind w:firstLine="480"/>
        <w:rPr>
          <w:color w:val="auto"/>
        </w:rPr>
      </w:pPr>
      <w:r>
        <w:rPr>
          <w:rFonts w:hint="eastAsia"/>
          <w:color w:val="auto"/>
        </w:rPr>
        <w:t>监测结果表明：本项目厂界全部监测点昼、夜噪声符合《工业企业厂界环境噪声排放标准》（GB12348-2008）3类标准。</w:t>
      </w:r>
    </w:p>
    <w:p>
      <w:pPr>
        <w:pStyle w:val="4"/>
        <w:rPr>
          <w:color w:val="auto"/>
        </w:rPr>
      </w:pPr>
      <w:bookmarkStart w:id="125" w:name="_Toc164292309"/>
      <w:bookmarkStart w:id="126" w:name="_Toc19702"/>
      <w:bookmarkStart w:id="127" w:name="_Toc156491686"/>
      <w:r>
        <w:rPr>
          <w:rFonts w:hint="eastAsia"/>
          <w:color w:val="auto"/>
        </w:rPr>
        <w:t>固体废物</w:t>
      </w:r>
      <w:bookmarkEnd w:id="125"/>
      <w:bookmarkEnd w:id="126"/>
      <w:bookmarkEnd w:id="127"/>
    </w:p>
    <w:p>
      <w:pPr>
        <w:ind w:firstLine="480"/>
        <w:rPr>
          <w:rFonts w:hint="eastAsia" w:ascii="宋体" w:hAnsi="宋体" w:cs="宋体"/>
          <w:color w:val="auto"/>
        </w:rPr>
      </w:pPr>
      <w:r>
        <w:rPr>
          <w:rFonts w:hint="eastAsia" w:ascii="宋体" w:hAnsi="宋体" w:cs="宋体"/>
          <w:color w:val="auto"/>
        </w:rPr>
        <w:t>生活垃圾交由环卫部门清运。</w:t>
      </w:r>
    </w:p>
    <w:p>
      <w:pPr>
        <w:ind w:firstLine="480"/>
        <w:rPr>
          <w:rFonts w:hint="eastAsia" w:ascii="宋体" w:hAnsi="宋体" w:cs="宋体"/>
          <w:color w:val="auto"/>
        </w:rPr>
      </w:pPr>
      <w:r>
        <w:rPr>
          <w:rFonts w:ascii="宋体" w:hAnsi="宋体"/>
          <w:color w:val="auto"/>
        </w:rPr>
        <w:t>一般工业固废</w:t>
      </w:r>
      <w:r>
        <w:rPr>
          <w:rFonts w:hint="eastAsia" w:ascii="宋体" w:hAnsi="宋体" w:cs="宋体"/>
          <w:color w:val="auto"/>
        </w:rPr>
        <w:t>：一般废包装材料、边角料、金属碎屑、焊渣、自然沉降粉尘、废滤筒及废布袋分类收集后暂存在一般固废间，定期交由有处理能力的单位处理。</w:t>
      </w:r>
    </w:p>
    <w:p>
      <w:pPr>
        <w:ind w:firstLine="480"/>
        <w:rPr>
          <w:rFonts w:hint="eastAsia" w:ascii="宋体" w:hAnsi="宋体" w:cs="宋体"/>
          <w:color w:val="auto"/>
        </w:rPr>
      </w:pPr>
      <w:r>
        <w:rPr>
          <w:rFonts w:ascii="宋体" w:hAnsi="宋体"/>
          <w:color w:val="auto"/>
        </w:rPr>
        <w:t>危险废物</w:t>
      </w:r>
      <w:r>
        <w:rPr>
          <w:rFonts w:hint="eastAsia" w:ascii="宋体" w:hAnsi="宋体" w:cs="宋体"/>
          <w:color w:val="auto"/>
        </w:rPr>
        <w:t>：废机油、废液压油、废乳化油、沾染乳化油的金属碎屑、废原辅料包装桶、漆渣、废干式过滤器介质、废活性炭、废清抹布、废拉丝布、含油废抹布及手套分类收集后暂存在危废间，定期交由肇庆市新荣昌环保股份有限公司处置。</w:t>
      </w:r>
    </w:p>
    <w:p>
      <w:pPr>
        <w:ind w:firstLine="480"/>
        <w:rPr>
          <w:color w:val="auto"/>
        </w:rPr>
      </w:pPr>
      <w:r>
        <w:rPr>
          <w:rFonts w:hint="eastAsia"/>
          <w:color w:val="auto"/>
        </w:rPr>
        <w:t>项目的固体废弃物能够实现资源化、无害化和减量化，对周围环境不产生影响，也不会产生二次污染，对周围环境影响不大。</w:t>
      </w:r>
    </w:p>
    <w:p>
      <w:pPr>
        <w:pStyle w:val="3"/>
        <w:rPr>
          <w:color w:val="auto"/>
        </w:rPr>
      </w:pPr>
      <w:bookmarkStart w:id="128" w:name="_Toc29497"/>
      <w:r>
        <w:rPr>
          <w:rFonts w:hint="eastAsia"/>
          <w:color w:val="auto"/>
        </w:rPr>
        <w:t>建议</w:t>
      </w:r>
      <w:bookmarkEnd w:id="128"/>
    </w:p>
    <w:p>
      <w:pPr>
        <w:ind w:firstLine="480"/>
        <w:rPr>
          <w:color w:val="auto"/>
        </w:rPr>
      </w:pPr>
      <w:r>
        <w:rPr>
          <w:rFonts w:hint="eastAsia"/>
          <w:color w:val="auto"/>
        </w:rPr>
        <w:t>（1）严格执行监测计划，加强风险管控，防治污染事件的发生；</w:t>
      </w:r>
    </w:p>
    <w:p>
      <w:pPr>
        <w:ind w:firstLine="480"/>
        <w:rPr>
          <w:color w:val="auto"/>
        </w:rPr>
      </w:pPr>
      <w:r>
        <w:rPr>
          <w:rFonts w:hint="eastAsia"/>
          <w:color w:val="auto"/>
        </w:rPr>
        <w:t>（2）加强废水、废气处理设施的管理和监测，保证废水、废气达标排放；</w:t>
      </w:r>
    </w:p>
    <w:p>
      <w:pPr>
        <w:ind w:firstLine="480"/>
        <w:rPr>
          <w:color w:val="auto"/>
        </w:rPr>
      </w:pPr>
      <w:r>
        <w:rPr>
          <w:rFonts w:hint="eastAsia"/>
          <w:color w:val="auto"/>
        </w:rPr>
        <w:t>（3）应设专人对废水、废气处理系统进行跟踪管理，及时跟进数据，发现异常应第一时间查找原因并处理；</w:t>
      </w:r>
    </w:p>
    <w:p>
      <w:pPr>
        <w:ind w:firstLine="480"/>
        <w:rPr>
          <w:color w:val="auto"/>
        </w:rPr>
      </w:pPr>
      <w:r>
        <w:rPr>
          <w:rFonts w:hint="eastAsia"/>
          <w:color w:val="auto"/>
        </w:rPr>
        <w:t>（4）及时维护环保处理设施，保证良好运行，确保各类污染物达标排放；</w:t>
      </w:r>
    </w:p>
    <w:p>
      <w:pPr>
        <w:ind w:firstLine="480"/>
        <w:rPr>
          <w:color w:val="auto"/>
        </w:rPr>
      </w:pPr>
      <w:r>
        <w:rPr>
          <w:rFonts w:hint="eastAsia"/>
          <w:color w:val="auto"/>
        </w:rPr>
        <w:t>（5）进一步完善环境保护规章制度和建立健全环境保护档案，提高环境保护管理水平。</w:t>
      </w:r>
    </w:p>
    <w:p>
      <w:pPr>
        <w:ind w:firstLine="480"/>
        <w:rPr>
          <w:color w:val="auto"/>
          <w:highlight w:val="yellow"/>
        </w:rPr>
      </w:pPr>
    </w:p>
    <w:p>
      <w:pPr>
        <w:widowControl/>
        <w:spacing w:line="240" w:lineRule="auto"/>
        <w:ind w:firstLine="0" w:firstLineChars="0"/>
        <w:jc w:val="left"/>
        <w:rPr>
          <w:color w:val="auto"/>
        </w:rPr>
      </w:pPr>
      <w:r>
        <w:rPr>
          <w:color w:val="auto"/>
        </w:rPr>
        <w:br w:type="page"/>
      </w:r>
    </w:p>
    <w:p>
      <w:pPr>
        <w:pStyle w:val="2"/>
        <w:rPr>
          <w:color w:val="auto"/>
        </w:rPr>
      </w:pPr>
      <w:bookmarkStart w:id="129" w:name="_Toc21231"/>
      <w:r>
        <w:rPr>
          <w:rFonts w:hint="eastAsia"/>
          <w:color w:val="auto"/>
        </w:rPr>
        <w:t>建设项目竣工环境保护“三同时”验收登记表</w:t>
      </w:r>
      <w:bookmarkEnd w:id="129"/>
    </w:p>
    <w:p>
      <w:pPr>
        <w:ind w:firstLine="480"/>
        <w:rPr>
          <w:color w:val="auto"/>
        </w:rPr>
      </w:pPr>
      <w:r>
        <w:rPr>
          <w:rFonts w:hint="eastAsia"/>
          <w:color w:val="auto"/>
        </w:rPr>
        <w:t>本项目竣工环境保护“三同时”验收登记表详见附件1。</w:t>
      </w:r>
    </w:p>
    <w:p>
      <w:pPr>
        <w:pStyle w:val="2"/>
        <w:rPr>
          <w:color w:val="auto"/>
        </w:rPr>
      </w:pPr>
      <w:bookmarkStart w:id="130" w:name="_Toc14079"/>
      <w:r>
        <w:rPr>
          <w:rFonts w:hint="eastAsia"/>
          <w:color w:val="auto"/>
        </w:rPr>
        <w:t>附件</w:t>
      </w:r>
      <w:bookmarkEnd w:id="130"/>
    </w:p>
    <w:p>
      <w:pPr>
        <w:ind w:firstLine="480"/>
        <w:rPr>
          <w:color w:val="auto"/>
        </w:rPr>
      </w:pPr>
      <w:r>
        <w:rPr>
          <w:rFonts w:hint="eastAsia"/>
          <w:color w:val="auto"/>
        </w:rPr>
        <w:t>附件1 建设项目竣工环境保护“三同时”验收登记表</w:t>
      </w:r>
    </w:p>
    <w:p>
      <w:pPr>
        <w:ind w:firstLine="480"/>
        <w:rPr>
          <w:color w:val="auto"/>
        </w:rPr>
      </w:pPr>
      <w:r>
        <w:rPr>
          <w:rFonts w:hint="eastAsia"/>
          <w:color w:val="auto"/>
        </w:rPr>
        <w:t>附件2 营业执照</w:t>
      </w:r>
    </w:p>
    <w:p>
      <w:pPr>
        <w:ind w:firstLine="480"/>
        <w:rPr>
          <w:color w:val="auto"/>
        </w:rPr>
      </w:pPr>
      <w:r>
        <w:rPr>
          <w:rFonts w:hint="eastAsia"/>
          <w:color w:val="auto"/>
        </w:rPr>
        <w:t>附件3</w:t>
      </w:r>
      <w:r>
        <w:rPr>
          <w:color w:val="auto"/>
        </w:rPr>
        <w:t xml:space="preserve"> </w:t>
      </w:r>
      <w:r>
        <w:rPr>
          <w:rFonts w:hint="eastAsia"/>
          <w:color w:val="auto"/>
        </w:rPr>
        <w:t>法人身份证复印件</w:t>
      </w:r>
    </w:p>
    <w:p>
      <w:pPr>
        <w:ind w:firstLine="480"/>
        <w:rPr>
          <w:color w:val="auto"/>
        </w:rPr>
      </w:pPr>
      <w:r>
        <w:rPr>
          <w:rFonts w:hint="eastAsia"/>
          <w:color w:val="auto"/>
        </w:rPr>
        <w:t>附件4 环评批复</w:t>
      </w:r>
    </w:p>
    <w:p>
      <w:pPr>
        <w:ind w:firstLine="480"/>
        <w:rPr>
          <w:color w:val="auto"/>
        </w:rPr>
      </w:pPr>
      <w:r>
        <w:rPr>
          <w:rFonts w:hint="eastAsia"/>
          <w:color w:val="auto"/>
        </w:rPr>
        <w:t>附件5</w:t>
      </w:r>
      <w:r>
        <w:rPr>
          <w:color w:val="auto"/>
        </w:rPr>
        <w:t xml:space="preserve"> </w:t>
      </w:r>
      <w:r>
        <w:rPr>
          <w:rFonts w:hint="eastAsia"/>
          <w:color w:val="auto"/>
        </w:rPr>
        <w:t>关于茂名市富临门科技有限公司纳入市政污水管网的申请函</w:t>
      </w:r>
    </w:p>
    <w:p>
      <w:pPr>
        <w:ind w:firstLine="480"/>
        <w:rPr>
          <w:color w:val="auto"/>
        </w:rPr>
      </w:pPr>
      <w:r>
        <w:rPr>
          <w:rFonts w:hint="eastAsia"/>
          <w:color w:val="auto"/>
        </w:rPr>
        <w:t>附件6 危废合同</w:t>
      </w:r>
    </w:p>
    <w:p>
      <w:pPr>
        <w:ind w:firstLine="480"/>
        <w:rPr>
          <w:color w:val="auto"/>
        </w:rPr>
      </w:pPr>
      <w:r>
        <w:rPr>
          <w:rFonts w:hint="eastAsia"/>
          <w:color w:val="auto"/>
        </w:rPr>
        <w:t>附件7 监测报告</w:t>
      </w:r>
    </w:p>
    <w:p>
      <w:pPr>
        <w:ind w:firstLine="480"/>
        <w:rPr>
          <w:color w:val="auto"/>
        </w:rPr>
      </w:pPr>
      <w:r>
        <w:rPr>
          <w:rFonts w:hint="eastAsia"/>
          <w:color w:val="auto"/>
        </w:rPr>
        <w:t>附件8 茂名华清水务有限公司废水监测处理服务合同</w:t>
      </w:r>
    </w:p>
    <w:p>
      <w:pPr>
        <w:ind w:firstLine="480"/>
        <w:rPr>
          <w:color w:val="auto"/>
        </w:rPr>
      </w:pPr>
      <w:r>
        <w:rPr>
          <w:rFonts w:hint="eastAsia"/>
          <w:color w:val="auto"/>
        </w:rPr>
        <w:t>附件9 台账</w:t>
      </w:r>
    </w:p>
    <w:p>
      <w:pPr>
        <w:pStyle w:val="2"/>
        <w:ind w:left="0"/>
        <w:rPr>
          <w:color w:val="auto"/>
        </w:rPr>
      </w:pPr>
      <w:bookmarkStart w:id="131" w:name="_Toc20773"/>
      <w:r>
        <w:rPr>
          <w:rFonts w:hint="eastAsia"/>
          <w:color w:val="auto"/>
        </w:rPr>
        <w:t>附图</w:t>
      </w:r>
      <w:bookmarkEnd w:id="131"/>
      <w:r>
        <w:rPr>
          <w:rFonts w:hint="eastAsia"/>
          <w:color w:val="auto"/>
        </w:rPr>
        <w:t xml:space="preserve"> </w:t>
      </w:r>
    </w:p>
    <w:p>
      <w:pPr>
        <w:ind w:firstLine="480"/>
        <w:rPr>
          <w:color w:val="auto"/>
        </w:rPr>
      </w:pPr>
      <w:r>
        <w:rPr>
          <w:rFonts w:hint="eastAsia"/>
          <w:color w:val="auto"/>
        </w:rPr>
        <w:t>附图1 现场分区标识</w:t>
      </w:r>
    </w:p>
    <w:p>
      <w:pPr>
        <w:ind w:firstLine="199" w:firstLineChars="83"/>
        <w:rPr>
          <w:color w:val="auto"/>
          <w:highlight w:val="yellow"/>
        </w:rPr>
        <w:sectPr>
          <w:pgSz w:w="11906" w:h="16838"/>
          <w:pgMar w:top="1440" w:right="1800" w:bottom="1440" w:left="1800" w:header="851" w:footer="992" w:gutter="0"/>
          <w:cols w:space="425" w:num="1"/>
          <w:docGrid w:type="lines" w:linePitch="312" w:charSpace="0"/>
        </w:sectPr>
      </w:pPr>
    </w:p>
    <w:p>
      <w:pPr>
        <w:pStyle w:val="15"/>
        <w:rPr>
          <w:color w:val="auto"/>
        </w:rPr>
      </w:pPr>
      <w:bookmarkStart w:id="132" w:name="_Toc32737"/>
      <w:r>
        <w:rPr>
          <w:rFonts w:hint="eastAsia"/>
          <w:color w:val="auto"/>
        </w:rPr>
        <w:t>附件1 建设项目竣工环境保护“三同时”验收登记表</w:t>
      </w:r>
      <w:bookmarkEnd w:id="132"/>
    </w:p>
    <w:p>
      <w:pPr>
        <w:spacing w:line="240" w:lineRule="auto"/>
        <w:ind w:firstLine="482"/>
        <w:rPr>
          <w:rFonts w:hint="eastAsia" w:ascii="宋体" w:hAnsi="宋体"/>
          <w:b/>
          <w:color w:val="auto"/>
          <w:szCs w:val="21"/>
        </w:rPr>
      </w:pPr>
      <w:r>
        <w:rPr>
          <w:rFonts w:hint="eastAsia" w:ascii="宋体" w:hAnsi="宋体"/>
          <w:b/>
          <w:color w:val="auto"/>
          <w:szCs w:val="21"/>
        </w:rPr>
        <w:t xml:space="preserve">填表单位（盖章）：茂名市富临门科技有限公司              填表人（签字）：韩玉成              项目经办人（签字）：韩玉成 </w:t>
      </w:r>
    </w:p>
    <w:tbl>
      <w:tblPr>
        <w:tblStyle w:val="24"/>
        <w:tblW w:w="15512" w:type="dxa"/>
        <w:jc w:val="center"/>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392"/>
        <w:gridCol w:w="130"/>
        <w:gridCol w:w="1058"/>
        <w:gridCol w:w="726"/>
        <w:gridCol w:w="785"/>
        <w:gridCol w:w="1330"/>
        <w:gridCol w:w="1058"/>
        <w:gridCol w:w="878"/>
        <w:gridCol w:w="652"/>
        <w:gridCol w:w="332"/>
        <w:gridCol w:w="1408"/>
        <w:gridCol w:w="968"/>
        <w:gridCol w:w="1970"/>
        <w:gridCol w:w="878"/>
        <w:gridCol w:w="869"/>
        <w:gridCol w:w="202"/>
        <w:gridCol w:w="592"/>
        <w:gridCol w:w="468"/>
        <w:gridCol w:w="816"/>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648" w:hRule="exact"/>
          <w:jc w:val="center"/>
        </w:trPr>
        <w:tc>
          <w:tcPr>
            <w:tcW w:w="392" w:type="dxa"/>
            <w:vMerge w:val="restart"/>
            <w:tcBorders>
              <w:top w:val="single" w:color="auto" w:sz="8" w:space="0"/>
              <w:left w:val="single" w:color="auto" w:sz="8" w:space="0"/>
              <w:bottom w:val="single" w:color="auto" w:sz="4" w:space="0"/>
              <w:right w:val="single" w:color="auto" w:sz="4" w:space="0"/>
            </w:tcBorders>
            <w:tcMar>
              <w:top w:w="0" w:type="dxa"/>
              <w:left w:w="57" w:type="dxa"/>
              <w:bottom w:w="0" w:type="dxa"/>
              <w:right w:w="57" w:type="dxa"/>
            </w:tcMar>
            <w:textDirection w:val="tbRlV"/>
            <w:vAlign w:val="center"/>
          </w:tcPr>
          <w:p>
            <w:pPr>
              <w:spacing w:line="180" w:lineRule="exact"/>
              <w:ind w:left="113" w:right="113" w:firstLine="0" w:firstLineChars="0"/>
              <w:jc w:val="center"/>
              <w:rPr>
                <w:b/>
                <w:color w:val="auto"/>
                <w:sz w:val="15"/>
                <w:szCs w:val="15"/>
              </w:rPr>
            </w:pPr>
            <w:r>
              <w:rPr>
                <w:rFonts w:hint="eastAsia"/>
                <w:b/>
                <w:color w:val="auto"/>
                <w:sz w:val="15"/>
                <w:szCs w:val="15"/>
              </w:rPr>
              <w:t>建设项目</w:t>
            </w:r>
          </w:p>
        </w:tc>
        <w:tc>
          <w:tcPr>
            <w:tcW w:w="1914" w:type="dxa"/>
            <w:gridSpan w:val="3"/>
            <w:tcBorders>
              <w:top w:val="single" w:color="auto" w:sz="8"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color w:val="auto"/>
                <w:sz w:val="15"/>
                <w:szCs w:val="15"/>
              </w:rPr>
            </w:pPr>
            <w:r>
              <w:rPr>
                <w:rFonts w:hint="eastAsia"/>
                <w:b/>
                <w:color w:val="auto"/>
                <w:sz w:val="15"/>
                <w:szCs w:val="15"/>
              </w:rPr>
              <w:t>项目名称</w:t>
            </w:r>
          </w:p>
        </w:tc>
        <w:tc>
          <w:tcPr>
            <w:tcW w:w="5035" w:type="dxa"/>
            <w:gridSpan w:val="6"/>
            <w:tcBorders>
              <w:top w:val="single" w:color="auto" w:sz="8"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Cs/>
                <w:color w:val="auto"/>
                <w:sz w:val="15"/>
                <w:szCs w:val="15"/>
              </w:rPr>
            </w:pPr>
            <w:r>
              <w:rPr>
                <w:rFonts w:hint="eastAsia"/>
                <w:bCs/>
                <w:color w:val="auto"/>
                <w:sz w:val="15"/>
                <w:szCs w:val="15"/>
              </w:rPr>
              <w:t>茂名市富临门科技有限公司年产3000套金属大门建设项目</w:t>
            </w:r>
          </w:p>
        </w:tc>
        <w:tc>
          <w:tcPr>
            <w:tcW w:w="2376" w:type="dxa"/>
            <w:gridSpan w:val="2"/>
            <w:tcBorders>
              <w:top w:val="single" w:color="auto" w:sz="8"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color w:val="auto"/>
                <w:sz w:val="15"/>
                <w:szCs w:val="15"/>
              </w:rPr>
            </w:pPr>
            <w:r>
              <w:rPr>
                <w:rFonts w:hint="eastAsia"/>
                <w:b/>
                <w:color w:val="auto"/>
                <w:sz w:val="15"/>
                <w:szCs w:val="15"/>
              </w:rPr>
              <w:t>项目代码</w:t>
            </w:r>
          </w:p>
        </w:tc>
        <w:tc>
          <w:tcPr>
            <w:tcW w:w="1970" w:type="dxa"/>
            <w:tcBorders>
              <w:top w:val="single" w:color="auto" w:sz="8"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color w:val="auto"/>
                <w:sz w:val="15"/>
                <w:szCs w:val="15"/>
              </w:rPr>
            </w:pPr>
            <w:r>
              <w:rPr>
                <w:color w:val="auto"/>
                <w:sz w:val="15"/>
                <w:szCs w:val="15"/>
              </w:rPr>
              <w:t>2508-440904-04-01-115776</w:t>
            </w:r>
          </w:p>
        </w:tc>
        <w:tc>
          <w:tcPr>
            <w:tcW w:w="1747" w:type="dxa"/>
            <w:gridSpan w:val="2"/>
            <w:tcBorders>
              <w:top w:val="single" w:color="auto" w:sz="8"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color w:val="auto"/>
                <w:sz w:val="15"/>
                <w:szCs w:val="15"/>
              </w:rPr>
            </w:pPr>
            <w:r>
              <w:rPr>
                <w:rFonts w:hint="eastAsia"/>
                <w:b/>
                <w:color w:val="auto"/>
                <w:sz w:val="15"/>
                <w:szCs w:val="15"/>
              </w:rPr>
              <w:t>建设地点</w:t>
            </w:r>
          </w:p>
        </w:tc>
        <w:tc>
          <w:tcPr>
            <w:tcW w:w="2078" w:type="dxa"/>
            <w:gridSpan w:val="4"/>
            <w:tcBorders>
              <w:top w:val="single" w:color="auto" w:sz="8" w:space="0"/>
              <w:left w:val="single" w:color="auto" w:sz="4" w:space="0"/>
              <w:bottom w:val="single" w:color="auto" w:sz="4" w:space="0"/>
              <w:right w:val="single" w:color="auto" w:sz="8" w:space="0"/>
            </w:tcBorders>
            <w:tcMar>
              <w:top w:w="0" w:type="dxa"/>
              <w:left w:w="57" w:type="dxa"/>
              <w:bottom w:w="0" w:type="dxa"/>
              <w:right w:w="57" w:type="dxa"/>
            </w:tcMar>
            <w:vAlign w:val="center"/>
          </w:tcPr>
          <w:p>
            <w:pPr>
              <w:spacing w:line="180" w:lineRule="exact"/>
              <w:ind w:firstLine="0" w:firstLineChars="0"/>
              <w:rPr>
                <w:color w:val="auto"/>
                <w:sz w:val="15"/>
                <w:szCs w:val="15"/>
              </w:rPr>
            </w:pPr>
            <w:r>
              <w:rPr>
                <w:rFonts w:hint="eastAsia"/>
                <w:color w:val="auto"/>
                <w:sz w:val="15"/>
                <w:szCs w:val="15"/>
              </w:rPr>
              <w:t>茂名市电白区沙院镇沙院政府后2号仓库之一</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416" w:hRule="exact"/>
          <w:jc w:val="center"/>
        </w:trPr>
        <w:tc>
          <w:tcPr>
            <w:tcW w:w="392" w:type="dxa"/>
            <w:vMerge w:val="continue"/>
            <w:tcBorders>
              <w:top w:val="single" w:color="auto" w:sz="8" w:space="0"/>
              <w:left w:val="single" w:color="auto" w:sz="8" w:space="0"/>
              <w:bottom w:val="single" w:color="auto" w:sz="4" w:space="0"/>
              <w:right w:val="single" w:color="auto" w:sz="4" w:space="0"/>
            </w:tcBorders>
          </w:tcPr>
          <w:p>
            <w:pPr>
              <w:widowControl/>
              <w:spacing w:line="180" w:lineRule="exact"/>
              <w:ind w:firstLine="0" w:firstLineChars="0"/>
              <w:rPr>
                <w:b/>
                <w:color w:val="auto"/>
                <w:sz w:val="15"/>
                <w:szCs w:val="15"/>
              </w:rPr>
            </w:pPr>
          </w:p>
        </w:tc>
        <w:tc>
          <w:tcPr>
            <w:tcW w:w="1914" w:type="dxa"/>
            <w:gridSpan w:val="3"/>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color w:val="auto"/>
                <w:sz w:val="15"/>
                <w:szCs w:val="15"/>
              </w:rPr>
            </w:pPr>
            <w:r>
              <w:rPr>
                <w:rFonts w:hint="eastAsia"/>
                <w:b/>
                <w:color w:val="auto"/>
                <w:sz w:val="15"/>
                <w:szCs w:val="15"/>
              </w:rPr>
              <w:t>行业类别（分类管理名录）</w:t>
            </w:r>
          </w:p>
        </w:tc>
        <w:tc>
          <w:tcPr>
            <w:tcW w:w="5035" w:type="dxa"/>
            <w:gridSpan w:val="6"/>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Cs/>
                <w:color w:val="auto"/>
                <w:sz w:val="15"/>
                <w:szCs w:val="15"/>
              </w:rPr>
            </w:pPr>
            <w:r>
              <w:rPr>
                <w:rFonts w:hint="eastAsia"/>
                <w:bCs/>
                <w:color w:val="auto"/>
                <w:sz w:val="15"/>
                <w:szCs w:val="15"/>
              </w:rPr>
              <w:t>C3312金属门窗制造</w:t>
            </w:r>
          </w:p>
        </w:tc>
        <w:tc>
          <w:tcPr>
            <w:tcW w:w="2376"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color w:val="auto"/>
                <w:sz w:val="15"/>
                <w:szCs w:val="15"/>
              </w:rPr>
            </w:pPr>
            <w:r>
              <w:rPr>
                <w:rFonts w:hint="eastAsia"/>
                <w:b/>
                <w:color w:val="auto"/>
                <w:sz w:val="15"/>
                <w:szCs w:val="15"/>
              </w:rPr>
              <w:t>建设性质</w:t>
            </w:r>
          </w:p>
        </w:tc>
        <w:tc>
          <w:tcPr>
            <w:tcW w:w="3717" w:type="dxa"/>
            <w:gridSpan w:val="3"/>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color w:val="auto"/>
                <w:sz w:val="15"/>
                <w:szCs w:val="15"/>
              </w:rPr>
            </w:pPr>
            <w:r>
              <w:rPr>
                <w:b/>
                <w:color w:val="auto"/>
                <w:sz w:val="15"/>
                <w:szCs w:val="15"/>
              </w:rPr>
              <w:fldChar w:fldCharType="begin"/>
            </w:r>
            <w:r>
              <w:rPr>
                <w:b/>
                <w:color w:val="auto"/>
                <w:sz w:val="15"/>
                <w:szCs w:val="15"/>
              </w:rPr>
              <w:instrText xml:space="preserve"> eq \o\ac(</w:instrText>
            </w:r>
            <w:r>
              <w:rPr>
                <w:rFonts w:hint="eastAsia"/>
                <w:b/>
                <w:color w:val="auto"/>
                <w:sz w:val="15"/>
                <w:szCs w:val="15"/>
              </w:rPr>
              <w:instrText xml:space="preserve">□</w:instrText>
            </w:r>
            <w:r>
              <w:rPr>
                <w:b/>
                <w:color w:val="auto"/>
                <w:sz w:val="15"/>
                <w:szCs w:val="15"/>
              </w:rPr>
              <w:instrText xml:space="preserve">,</w:instrText>
            </w:r>
            <w:r>
              <w:rPr>
                <w:rFonts w:hint="eastAsia" w:ascii="宋体"/>
                <w:b/>
                <w:color w:val="auto"/>
                <w:position w:val="1"/>
                <w:sz w:val="9"/>
                <w:szCs w:val="15"/>
              </w:rPr>
              <w:instrText xml:space="preserve">√</w:instrText>
            </w:r>
            <w:r>
              <w:rPr>
                <w:b/>
                <w:color w:val="auto"/>
                <w:sz w:val="15"/>
                <w:szCs w:val="15"/>
              </w:rPr>
              <w:instrText xml:space="preserve">)</w:instrText>
            </w:r>
            <w:r>
              <w:rPr>
                <w:b/>
                <w:color w:val="auto"/>
                <w:sz w:val="15"/>
                <w:szCs w:val="15"/>
              </w:rPr>
              <w:fldChar w:fldCharType="end"/>
            </w:r>
            <w:r>
              <w:rPr>
                <w:rFonts w:hint="eastAsia"/>
                <w:b/>
                <w:color w:val="auto"/>
                <w:sz w:val="15"/>
                <w:szCs w:val="15"/>
              </w:rPr>
              <w:t>新建</w:t>
            </w:r>
            <w:r>
              <w:rPr>
                <w:b/>
                <w:color w:val="auto"/>
                <w:sz w:val="15"/>
                <w:szCs w:val="15"/>
              </w:rPr>
              <w:t xml:space="preserve">  □</w:t>
            </w:r>
            <w:r>
              <w:rPr>
                <w:rFonts w:hint="eastAsia"/>
                <w:b/>
                <w:color w:val="auto"/>
                <w:sz w:val="15"/>
                <w:szCs w:val="15"/>
              </w:rPr>
              <w:t>改扩建</w:t>
            </w:r>
            <w:r>
              <w:rPr>
                <w:b/>
                <w:color w:val="auto"/>
                <w:sz w:val="15"/>
                <w:szCs w:val="15"/>
              </w:rPr>
              <w:t xml:space="preserve">  □</w:t>
            </w:r>
            <w:r>
              <w:rPr>
                <w:rFonts w:hint="eastAsia"/>
                <w:b/>
                <w:color w:val="auto"/>
                <w:sz w:val="15"/>
                <w:szCs w:val="15"/>
              </w:rPr>
              <w:t>技术改造</w:t>
            </w:r>
          </w:p>
        </w:tc>
        <w:tc>
          <w:tcPr>
            <w:tcW w:w="794"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color w:val="auto"/>
                <w:sz w:val="15"/>
                <w:szCs w:val="15"/>
              </w:rPr>
            </w:pPr>
            <w:r>
              <w:rPr>
                <w:rFonts w:hint="eastAsia"/>
                <w:b/>
                <w:color w:val="auto"/>
                <w:sz w:val="15"/>
                <w:szCs w:val="15"/>
              </w:rPr>
              <w:t>项目厂区中心经度</w:t>
            </w:r>
            <w:r>
              <w:rPr>
                <w:b/>
                <w:color w:val="auto"/>
                <w:sz w:val="15"/>
                <w:szCs w:val="15"/>
              </w:rPr>
              <w:t>/</w:t>
            </w:r>
            <w:r>
              <w:rPr>
                <w:rFonts w:hint="eastAsia"/>
                <w:b/>
                <w:color w:val="auto"/>
                <w:sz w:val="15"/>
                <w:szCs w:val="15"/>
              </w:rPr>
              <w:t>纬度</w:t>
            </w:r>
          </w:p>
        </w:tc>
        <w:tc>
          <w:tcPr>
            <w:tcW w:w="1284" w:type="dxa"/>
            <w:gridSpan w:val="2"/>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pPr>
              <w:wordWrap w:val="0"/>
              <w:spacing w:line="180" w:lineRule="exact"/>
              <w:ind w:firstLine="0" w:firstLineChars="0"/>
              <w:rPr>
                <w:rFonts w:cs="Times New Roman"/>
                <w:color w:val="auto"/>
                <w:sz w:val="15"/>
                <w:szCs w:val="15"/>
              </w:rPr>
            </w:pPr>
            <w:r>
              <w:rPr>
                <w:rFonts w:cs="Times New Roman"/>
                <w:color w:val="auto"/>
                <w:sz w:val="15"/>
                <w:szCs w:val="15"/>
              </w:rPr>
              <w:t>E110°</w:t>
            </w:r>
            <w:r>
              <w:rPr>
                <w:rFonts w:hint="eastAsia" w:cs="Times New Roman"/>
                <w:color w:val="auto"/>
                <w:sz w:val="15"/>
                <w:szCs w:val="15"/>
              </w:rPr>
              <w:t>57</w:t>
            </w:r>
            <w:r>
              <w:rPr>
                <w:rFonts w:cs="Times New Roman"/>
                <w:color w:val="auto"/>
                <w:sz w:val="15"/>
                <w:szCs w:val="15"/>
              </w:rPr>
              <w:t>′</w:t>
            </w:r>
            <w:r>
              <w:rPr>
                <w:rFonts w:hint="eastAsia" w:cs="Times New Roman"/>
                <w:color w:val="auto"/>
                <w:sz w:val="15"/>
                <w:szCs w:val="15"/>
              </w:rPr>
              <w:t>21.385</w:t>
            </w:r>
            <w:r>
              <w:rPr>
                <w:rFonts w:cs="Times New Roman"/>
                <w:color w:val="auto"/>
                <w:sz w:val="15"/>
                <w:szCs w:val="15"/>
              </w:rPr>
              <w:t>″，</w:t>
            </w:r>
          </w:p>
          <w:p>
            <w:pPr>
              <w:wordWrap w:val="0"/>
              <w:spacing w:line="180" w:lineRule="exact"/>
              <w:ind w:firstLine="0" w:firstLineChars="0"/>
              <w:rPr>
                <w:rFonts w:cs="Times New Roman"/>
                <w:color w:val="auto"/>
                <w:sz w:val="15"/>
                <w:szCs w:val="15"/>
              </w:rPr>
            </w:pPr>
            <w:r>
              <w:rPr>
                <w:rFonts w:cs="Times New Roman"/>
                <w:color w:val="auto"/>
                <w:sz w:val="15"/>
                <w:szCs w:val="15"/>
              </w:rPr>
              <w:t>N</w:t>
            </w:r>
            <w:r>
              <w:rPr>
                <w:rFonts w:hint="eastAsia" w:cs="Times New Roman"/>
                <w:color w:val="auto"/>
                <w:sz w:val="15"/>
                <w:szCs w:val="15"/>
              </w:rPr>
              <w:t>21</w:t>
            </w:r>
            <w:r>
              <w:rPr>
                <w:rFonts w:cs="Times New Roman"/>
                <w:color w:val="auto"/>
                <w:sz w:val="15"/>
                <w:szCs w:val="15"/>
              </w:rPr>
              <w:t>°</w:t>
            </w:r>
            <w:r>
              <w:rPr>
                <w:rFonts w:hint="eastAsia" w:cs="Times New Roman"/>
                <w:color w:val="auto"/>
                <w:sz w:val="15"/>
                <w:szCs w:val="15"/>
              </w:rPr>
              <w:t>29</w:t>
            </w:r>
            <w:r>
              <w:rPr>
                <w:rFonts w:cs="Times New Roman"/>
                <w:color w:val="auto"/>
                <w:sz w:val="15"/>
                <w:szCs w:val="15"/>
              </w:rPr>
              <w:t>′</w:t>
            </w:r>
            <w:r>
              <w:rPr>
                <w:rFonts w:hint="eastAsia" w:cs="Times New Roman"/>
                <w:color w:val="auto"/>
                <w:sz w:val="15"/>
                <w:szCs w:val="15"/>
              </w:rPr>
              <w:t>43.645</w:t>
            </w:r>
            <w:r>
              <w:rPr>
                <w:rFonts w:cs="Times New Roman"/>
                <w:color w:val="auto"/>
                <w:sz w:val="15"/>
                <w:szCs w:val="15"/>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423" w:hRule="exact"/>
          <w:jc w:val="center"/>
        </w:trPr>
        <w:tc>
          <w:tcPr>
            <w:tcW w:w="392" w:type="dxa"/>
            <w:vMerge w:val="continue"/>
            <w:tcBorders>
              <w:top w:val="single" w:color="auto" w:sz="8" w:space="0"/>
              <w:left w:val="single" w:color="auto" w:sz="8" w:space="0"/>
              <w:bottom w:val="single" w:color="auto" w:sz="4" w:space="0"/>
              <w:right w:val="single" w:color="auto" w:sz="4" w:space="0"/>
            </w:tcBorders>
          </w:tcPr>
          <w:p>
            <w:pPr>
              <w:widowControl/>
              <w:spacing w:line="180" w:lineRule="exact"/>
              <w:ind w:firstLine="0" w:firstLineChars="0"/>
              <w:rPr>
                <w:b/>
                <w:color w:val="auto"/>
                <w:sz w:val="15"/>
                <w:szCs w:val="15"/>
              </w:rPr>
            </w:pPr>
          </w:p>
        </w:tc>
        <w:tc>
          <w:tcPr>
            <w:tcW w:w="1914" w:type="dxa"/>
            <w:gridSpan w:val="3"/>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color w:val="auto"/>
                <w:sz w:val="15"/>
                <w:szCs w:val="15"/>
              </w:rPr>
            </w:pPr>
            <w:r>
              <w:rPr>
                <w:rFonts w:hint="eastAsia"/>
                <w:b/>
                <w:color w:val="auto"/>
                <w:sz w:val="15"/>
                <w:szCs w:val="15"/>
              </w:rPr>
              <w:t>设计生产能力</w:t>
            </w:r>
          </w:p>
        </w:tc>
        <w:tc>
          <w:tcPr>
            <w:tcW w:w="5035" w:type="dxa"/>
            <w:gridSpan w:val="6"/>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Cs/>
                <w:color w:val="auto"/>
                <w:sz w:val="15"/>
                <w:szCs w:val="15"/>
              </w:rPr>
            </w:pPr>
            <w:r>
              <w:rPr>
                <w:rFonts w:hint="eastAsia"/>
                <w:bCs/>
                <w:color w:val="auto"/>
                <w:sz w:val="15"/>
                <w:szCs w:val="15"/>
              </w:rPr>
              <w:t>年产3000套金属大门</w:t>
            </w:r>
          </w:p>
        </w:tc>
        <w:tc>
          <w:tcPr>
            <w:tcW w:w="2376"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color w:val="auto"/>
                <w:sz w:val="15"/>
                <w:szCs w:val="15"/>
              </w:rPr>
            </w:pPr>
            <w:r>
              <w:rPr>
                <w:rFonts w:hint="eastAsia"/>
                <w:b/>
                <w:color w:val="auto"/>
                <w:sz w:val="15"/>
                <w:szCs w:val="15"/>
              </w:rPr>
              <w:t>实际生产能力</w:t>
            </w:r>
          </w:p>
        </w:tc>
        <w:tc>
          <w:tcPr>
            <w:tcW w:w="1970"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color w:val="auto"/>
                <w:sz w:val="15"/>
                <w:szCs w:val="15"/>
              </w:rPr>
            </w:pPr>
            <w:r>
              <w:rPr>
                <w:rFonts w:hint="eastAsia"/>
                <w:bCs/>
                <w:color w:val="auto"/>
                <w:sz w:val="15"/>
                <w:szCs w:val="15"/>
              </w:rPr>
              <w:t>年产3000套金属大门</w:t>
            </w:r>
          </w:p>
        </w:tc>
        <w:tc>
          <w:tcPr>
            <w:tcW w:w="1747"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color w:val="auto"/>
                <w:sz w:val="15"/>
                <w:szCs w:val="15"/>
              </w:rPr>
            </w:pPr>
            <w:r>
              <w:rPr>
                <w:rFonts w:hint="eastAsia"/>
                <w:b/>
                <w:color w:val="auto"/>
                <w:sz w:val="15"/>
                <w:szCs w:val="15"/>
              </w:rPr>
              <w:t>环评单位</w:t>
            </w:r>
          </w:p>
        </w:tc>
        <w:tc>
          <w:tcPr>
            <w:tcW w:w="2078" w:type="dxa"/>
            <w:gridSpan w:val="4"/>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pPr>
              <w:spacing w:line="180" w:lineRule="exact"/>
              <w:ind w:firstLine="0" w:firstLineChars="0"/>
              <w:rPr>
                <w:bCs/>
                <w:color w:val="auto"/>
                <w:sz w:val="15"/>
                <w:szCs w:val="15"/>
              </w:rPr>
            </w:pPr>
            <w:r>
              <w:rPr>
                <w:rFonts w:hint="eastAsia"/>
                <w:bCs/>
                <w:color w:val="auto"/>
                <w:sz w:val="15"/>
                <w:szCs w:val="15"/>
              </w:rPr>
              <w:t>茂名旭日环保科技有限公司</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22" w:hRule="exact"/>
          <w:jc w:val="center"/>
        </w:trPr>
        <w:tc>
          <w:tcPr>
            <w:tcW w:w="392" w:type="dxa"/>
            <w:vMerge w:val="continue"/>
            <w:tcBorders>
              <w:top w:val="single" w:color="auto" w:sz="8" w:space="0"/>
              <w:left w:val="single" w:color="auto" w:sz="8" w:space="0"/>
              <w:bottom w:val="single" w:color="auto" w:sz="4" w:space="0"/>
              <w:right w:val="single" w:color="auto" w:sz="4" w:space="0"/>
            </w:tcBorders>
          </w:tcPr>
          <w:p>
            <w:pPr>
              <w:widowControl/>
              <w:spacing w:line="180" w:lineRule="exact"/>
              <w:ind w:firstLine="0" w:firstLineChars="0"/>
              <w:rPr>
                <w:b/>
                <w:color w:val="auto"/>
                <w:sz w:val="15"/>
                <w:szCs w:val="15"/>
              </w:rPr>
            </w:pPr>
          </w:p>
        </w:tc>
        <w:tc>
          <w:tcPr>
            <w:tcW w:w="1914" w:type="dxa"/>
            <w:gridSpan w:val="3"/>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color w:val="auto"/>
                <w:sz w:val="15"/>
                <w:szCs w:val="15"/>
              </w:rPr>
            </w:pPr>
            <w:r>
              <w:rPr>
                <w:rFonts w:hint="eastAsia"/>
                <w:b/>
                <w:color w:val="auto"/>
                <w:sz w:val="15"/>
                <w:szCs w:val="15"/>
              </w:rPr>
              <w:t>环评文件审批机关</w:t>
            </w:r>
          </w:p>
        </w:tc>
        <w:tc>
          <w:tcPr>
            <w:tcW w:w="5035" w:type="dxa"/>
            <w:gridSpan w:val="6"/>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Cs/>
                <w:color w:val="auto"/>
                <w:sz w:val="15"/>
                <w:szCs w:val="15"/>
              </w:rPr>
            </w:pPr>
            <w:r>
              <w:rPr>
                <w:rFonts w:hint="eastAsia"/>
                <w:bCs/>
                <w:color w:val="auto"/>
                <w:sz w:val="15"/>
                <w:szCs w:val="15"/>
              </w:rPr>
              <w:t>茂名市生态环境局电白分局</w:t>
            </w:r>
          </w:p>
        </w:tc>
        <w:tc>
          <w:tcPr>
            <w:tcW w:w="2376"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color w:val="auto"/>
                <w:sz w:val="15"/>
                <w:szCs w:val="15"/>
              </w:rPr>
            </w:pPr>
            <w:r>
              <w:rPr>
                <w:rFonts w:hint="eastAsia"/>
                <w:b/>
                <w:color w:val="auto"/>
                <w:sz w:val="15"/>
                <w:szCs w:val="15"/>
              </w:rPr>
              <w:t>审批文号</w:t>
            </w:r>
          </w:p>
        </w:tc>
        <w:tc>
          <w:tcPr>
            <w:tcW w:w="1970"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Cs/>
                <w:color w:val="auto"/>
                <w:sz w:val="15"/>
                <w:szCs w:val="15"/>
              </w:rPr>
            </w:pPr>
            <w:r>
              <w:rPr>
                <w:rFonts w:hint="eastAsia"/>
                <w:bCs/>
                <w:color w:val="auto"/>
                <w:sz w:val="15"/>
                <w:szCs w:val="15"/>
              </w:rPr>
              <w:t>茂环（电白）审[2025]16号</w:t>
            </w:r>
          </w:p>
        </w:tc>
        <w:tc>
          <w:tcPr>
            <w:tcW w:w="1747"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color w:val="auto"/>
                <w:sz w:val="15"/>
                <w:szCs w:val="15"/>
              </w:rPr>
            </w:pPr>
            <w:r>
              <w:rPr>
                <w:rFonts w:hint="eastAsia"/>
                <w:b/>
                <w:color w:val="auto"/>
                <w:sz w:val="15"/>
                <w:szCs w:val="15"/>
              </w:rPr>
              <w:t>环评文件类型</w:t>
            </w:r>
          </w:p>
        </w:tc>
        <w:tc>
          <w:tcPr>
            <w:tcW w:w="2078" w:type="dxa"/>
            <w:gridSpan w:val="4"/>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pPr>
              <w:spacing w:line="180" w:lineRule="exact"/>
              <w:ind w:firstLine="0" w:firstLineChars="0"/>
              <w:rPr>
                <w:bCs/>
                <w:color w:val="auto"/>
                <w:sz w:val="15"/>
                <w:szCs w:val="15"/>
              </w:rPr>
            </w:pPr>
            <w:r>
              <w:rPr>
                <w:rFonts w:hint="eastAsia"/>
                <w:bCs/>
                <w:color w:val="auto"/>
                <w:sz w:val="15"/>
                <w:szCs w:val="15"/>
              </w:rPr>
              <w:t>报告表</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exact"/>
          <w:jc w:val="center"/>
        </w:trPr>
        <w:tc>
          <w:tcPr>
            <w:tcW w:w="392" w:type="dxa"/>
            <w:vMerge w:val="continue"/>
            <w:tcBorders>
              <w:top w:val="single" w:color="auto" w:sz="8" w:space="0"/>
              <w:left w:val="single" w:color="auto" w:sz="8" w:space="0"/>
              <w:bottom w:val="single" w:color="auto" w:sz="4" w:space="0"/>
              <w:right w:val="single" w:color="auto" w:sz="4" w:space="0"/>
            </w:tcBorders>
          </w:tcPr>
          <w:p>
            <w:pPr>
              <w:widowControl/>
              <w:spacing w:line="180" w:lineRule="exact"/>
              <w:ind w:firstLine="0" w:firstLineChars="0"/>
              <w:rPr>
                <w:b/>
                <w:color w:val="auto"/>
                <w:sz w:val="15"/>
                <w:szCs w:val="15"/>
              </w:rPr>
            </w:pPr>
          </w:p>
        </w:tc>
        <w:tc>
          <w:tcPr>
            <w:tcW w:w="1914" w:type="dxa"/>
            <w:gridSpan w:val="3"/>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color w:val="auto"/>
                <w:sz w:val="15"/>
                <w:szCs w:val="15"/>
              </w:rPr>
            </w:pPr>
            <w:r>
              <w:rPr>
                <w:rFonts w:hint="eastAsia"/>
                <w:b/>
                <w:color w:val="auto"/>
                <w:sz w:val="15"/>
                <w:szCs w:val="15"/>
              </w:rPr>
              <w:t>开工日期</w:t>
            </w:r>
          </w:p>
        </w:tc>
        <w:tc>
          <w:tcPr>
            <w:tcW w:w="5035" w:type="dxa"/>
            <w:gridSpan w:val="6"/>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Cs/>
                <w:color w:val="auto"/>
                <w:sz w:val="15"/>
                <w:szCs w:val="15"/>
              </w:rPr>
            </w:pPr>
            <w:r>
              <w:rPr>
                <w:rFonts w:hint="eastAsia"/>
                <w:bCs/>
                <w:color w:val="auto"/>
                <w:sz w:val="15"/>
                <w:szCs w:val="15"/>
              </w:rPr>
              <w:t>2</w:t>
            </w:r>
            <w:r>
              <w:rPr>
                <w:bCs/>
                <w:color w:val="auto"/>
                <w:sz w:val="15"/>
                <w:szCs w:val="15"/>
              </w:rPr>
              <w:t>02</w:t>
            </w:r>
            <w:r>
              <w:rPr>
                <w:rFonts w:hint="eastAsia"/>
                <w:bCs/>
                <w:color w:val="auto"/>
                <w:sz w:val="15"/>
                <w:szCs w:val="15"/>
              </w:rPr>
              <w:t>5年11月</w:t>
            </w:r>
          </w:p>
        </w:tc>
        <w:tc>
          <w:tcPr>
            <w:tcW w:w="2376"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color w:val="auto"/>
                <w:sz w:val="15"/>
                <w:szCs w:val="15"/>
              </w:rPr>
            </w:pPr>
            <w:r>
              <w:rPr>
                <w:rFonts w:hint="eastAsia"/>
                <w:b/>
                <w:color w:val="auto"/>
                <w:sz w:val="15"/>
                <w:szCs w:val="15"/>
              </w:rPr>
              <w:t>竣工日期</w:t>
            </w:r>
          </w:p>
        </w:tc>
        <w:tc>
          <w:tcPr>
            <w:tcW w:w="1970"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Cs/>
                <w:color w:val="auto"/>
                <w:sz w:val="15"/>
                <w:szCs w:val="15"/>
              </w:rPr>
            </w:pPr>
            <w:r>
              <w:rPr>
                <w:rFonts w:hint="eastAsia"/>
                <w:bCs/>
                <w:color w:val="auto"/>
                <w:sz w:val="15"/>
                <w:szCs w:val="15"/>
              </w:rPr>
              <w:t>2</w:t>
            </w:r>
            <w:r>
              <w:rPr>
                <w:bCs/>
                <w:color w:val="auto"/>
                <w:sz w:val="15"/>
                <w:szCs w:val="15"/>
              </w:rPr>
              <w:t>02</w:t>
            </w:r>
            <w:r>
              <w:rPr>
                <w:rFonts w:hint="eastAsia"/>
                <w:bCs/>
                <w:color w:val="auto"/>
                <w:sz w:val="15"/>
                <w:szCs w:val="15"/>
              </w:rPr>
              <w:t>5年12月</w:t>
            </w:r>
          </w:p>
        </w:tc>
        <w:tc>
          <w:tcPr>
            <w:tcW w:w="1747"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color w:val="auto"/>
                <w:sz w:val="15"/>
                <w:szCs w:val="15"/>
              </w:rPr>
            </w:pPr>
            <w:r>
              <w:rPr>
                <w:rFonts w:hint="eastAsia"/>
                <w:b/>
                <w:color w:val="auto"/>
                <w:sz w:val="15"/>
                <w:szCs w:val="15"/>
              </w:rPr>
              <w:t>排污许可证申领时间</w:t>
            </w:r>
          </w:p>
        </w:tc>
        <w:tc>
          <w:tcPr>
            <w:tcW w:w="2078" w:type="dxa"/>
            <w:gridSpan w:val="4"/>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pPr>
              <w:spacing w:line="180" w:lineRule="exact"/>
              <w:ind w:firstLine="0" w:firstLineChars="0"/>
              <w:rPr>
                <w:bCs/>
                <w:color w:val="auto"/>
                <w:sz w:val="15"/>
                <w:szCs w:val="15"/>
              </w:rPr>
            </w:pPr>
            <w:r>
              <w:rPr>
                <w:rFonts w:hint="eastAsia"/>
                <w:bCs/>
                <w:color w:val="auto"/>
                <w:sz w:val="15"/>
                <w:szCs w:val="15"/>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exact"/>
          <w:jc w:val="center"/>
        </w:trPr>
        <w:tc>
          <w:tcPr>
            <w:tcW w:w="392" w:type="dxa"/>
            <w:vMerge w:val="continue"/>
            <w:tcBorders>
              <w:top w:val="single" w:color="auto" w:sz="8" w:space="0"/>
              <w:left w:val="single" w:color="auto" w:sz="8" w:space="0"/>
              <w:bottom w:val="single" w:color="auto" w:sz="4" w:space="0"/>
              <w:right w:val="single" w:color="auto" w:sz="4" w:space="0"/>
            </w:tcBorders>
          </w:tcPr>
          <w:p>
            <w:pPr>
              <w:widowControl/>
              <w:spacing w:line="180" w:lineRule="exact"/>
              <w:ind w:firstLine="0" w:firstLineChars="0"/>
              <w:rPr>
                <w:b/>
                <w:color w:val="auto"/>
                <w:sz w:val="15"/>
                <w:szCs w:val="15"/>
              </w:rPr>
            </w:pPr>
          </w:p>
        </w:tc>
        <w:tc>
          <w:tcPr>
            <w:tcW w:w="1914" w:type="dxa"/>
            <w:gridSpan w:val="3"/>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color w:val="auto"/>
                <w:sz w:val="15"/>
                <w:szCs w:val="15"/>
              </w:rPr>
            </w:pPr>
            <w:r>
              <w:rPr>
                <w:rFonts w:hint="eastAsia"/>
                <w:b/>
                <w:color w:val="auto"/>
                <w:sz w:val="15"/>
                <w:szCs w:val="15"/>
              </w:rPr>
              <w:t>环保设施设计单位</w:t>
            </w:r>
          </w:p>
        </w:tc>
        <w:tc>
          <w:tcPr>
            <w:tcW w:w="5035" w:type="dxa"/>
            <w:gridSpan w:val="6"/>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Cs/>
                <w:color w:val="auto"/>
                <w:sz w:val="15"/>
                <w:szCs w:val="15"/>
              </w:rPr>
            </w:pPr>
            <w:r>
              <w:rPr>
                <w:rFonts w:hint="eastAsia"/>
                <w:bCs/>
                <w:color w:val="auto"/>
                <w:sz w:val="15"/>
                <w:szCs w:val="15"/>
              </w:rPr>
              <w:t>/</w:t>
            </w:r>
          </w:p>
        </w:tc>
        <w:tc>
          <w:tcPr>
            <w:tcW w:w="2376"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color w:val="auto"/>
                <w:sz w:val="15"/>
                <w:szCs w:val="15"/>
              </w:rPr>
            </w:pPr>
            <w:r>
              <w:rPr>
                <w:rFonts w:hint="eastAsia"/>
                <w:b/>
                <w:color w:val="auto"/>
                <w:sz w:val="15"/>
                <w:szCs w:val="15"/>
              </w:rPr>
              <w:t>环保设施施工单位</w:t>
            </w:r>
          </w:p>
        </w:tc>
        <w:tc>
          <w:tcPr>
            <w:tcW w:w="1970"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Cs/>
                <w:color w:val="auto"/>
                <w:sz w:val="13"/>
                <w:szCs w:val="15"/>
              </w:rPr>
            </w:pPr>
            <w:r>
              <w:rPr>
                <w:rFonts w:hint="eastAsia"/>
                <w:bCs/>
                <w:color w:val="auto"/>
                <w:sz w:val="13"/>
                <w:szCs w:val="15"/>
              </w:rPr>
              <w:t>/</w:t>
            </w:r>
          </w:p>
        </w:tc>
        <w:tc>
          <w:tcPr>
            <w:tcW w:w="1747"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color w:val="auto"/>
                <w:sz w:val="15"/>
                <w:szCs w:val="15"/>
              </w:rPr>
            </w:pPr>
            <w:r>
              <w:rPr>
                <w:rFonts w:hint="eastAsia"/>
                <w:b/>
                <w:color w:val="auto"/>
                <w:sz w:val="15"/>
                <w:szCs w:val="15"/>
              </w:rPr>
              <w:t>本工程排污许可证编号</w:t>
            </w:r>
          </w:p>
        </w:tc>
        <w:tc>
          <w:tcPr>
            <w:tcW w:w="2078" w:type="dxa"/>
            <w:gridSpan w:val="4"/>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pPr>
              <w:spacing w:line="180" w:lineRule="exact"/>
              <w:ind w:firstLine="0" w:firstLineChars="0"/>
              <w:rPr>
                <w:bCs/>
                <w:color w:val="auto"/>
                <w:sz w:val="15"/>
                <w:szCs w:val="15"/>
              </w:rPr>
            </w:pPr>
            <w:r>
              <w:rPr>
                <w:rFonts w:hint="eastAsia"/>
                <w:bCs/>
                <w:color w:val="auto"/>
                <w:sz w:val="15"/>
                <w:szCs w:val="15"/>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56" w:hRule="exact"/>
          <w:jc w:val="center"/>
        </w:trPr>
        <w:tc>
          <w:tcPr>
            <w:tcW w:w="392" w:type="dxa"/>
            <w:vMerge w:val="continue"/>
            <w:tcBorders>
              <w:top w:val="single" w:color="auto" w:sz="8" w:space="0"/>
              <w:left w:val="single" w:color="auto" w:sz="8" w:space="0"/>
              <w:bottom w:val="single" w:color="auto" w:sz="4" w:space="0"/>
              <w:right w:val="single" w:color="auto" w:sz="4" w:space="0"/>
            </w:tcBorders>
          </w:tcPr>
          <w:p>
            <w:pPr>
              <w:widowControl/>
              <w:spacing w:line="180" w:lineRule="exact"/>
              <w:ind w:firstLine="0" w:firstLineChars="0"/>
              <w:rPr>
                <w:b/>
                <w:color w:val="auto"/>
                <w:sz w:val="15"/>
                <w:szCs w:val="15"/>
              </w:rPr>
            </w:pPr>
          </w:p>
        </w:tc>
        <w:tc>
          <w:tcPr>
            <w:tcW w:w="1914" w:type="dxa"/>
            <w:gridSpan w:val="3"/>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color w:val="auto"/>
                <w:sz w:val="15"/>
                <w:szCs w:val="15"/>
              </w:rPr>
            </w:pPr>
            <w:r>
              <w:rPr>
                <w:rFonts w:hint="eastAsia"/>
                <w:b/>
                <w:color w:val="auto"/>
                <w:sz w:val="15"/>
                <w:szCs w:val="15"/>
              </w:rPr>
              <w:t>验收单位</w:t>
            </w:r>
          </w:p>
        </w:tc>
        <w:tc>
          <w:tcPr>
            <w:tcW w:w="5035" w:type="dxa"/>
            <w:gridSpan w:val="6"/>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Cs/>
                <w:color w:val="auto"/>
                <w:sz w:val="15"/>
                <w:szCs w:val="15"/>
              </w:rPr>
            </w:pPr>
            <w:r>
              <w:rPr>
                <w:rFonts w:hint="eastAsia"/>
                <w:bCs/>
                <w:color w:val="auto"/>
                <w:sz w:val="15"/>
                <w:szCs w:val="15"/>
              </w:rPr>
              <w:t xml:space="preserve">茂名市富临门科技有限公司  </w:t>
            </w:r>
          </w:p>
        </w:tc>
        <w:tc>
          <w:tcPr>
            <w:tcW w:w="2376"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color w:val="auto"/>
                <w:sz w:val="15"/>
                <w:szCs w:val="15"/>
              </w:rPr>
            </w:pPr>
            <w:r>
              <w:rPr>
                <w:rFonts w:hint="eastAsia"/>
                <w:b/>
                <w:color w:val="auto"/>
                <w:sz w:val="15"/>
                <w:szCs w:val="15"/>
              </w:rPr>
              <w:t>环保设施监测单位</w:t>
            </w:r>
          </w:p>
        </w:tc>
        <w:tc>
          <w:tcPr>
            <w:tcW w:w="1970"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Cs/>
                <w:color w:val="auto"/>
                <w:sz w:val="13"/>
                <w:szCs w:val="15"/>
              </w:rPr>
            </w:pPr>
            <w:r>
              <w:rPr>
                <w:rFonts w:hint="eastAsia"/>
                <w:bCs/>
                <w:color w:val="auto"/>
                <w:sz w:val="13"/>
                <w:szCs w:val="15"/>
              </w:rPr>
              <w:t>茂名市广润检测有限公司</w:t>
            </w:r>
          </w:p>
        </w:tc>
        <w:tc>
          <w:tcPr>
            <w:tcW w:w="1747"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color w:val="auto"/>
                <w:sz w:val="15"/>
                <w:szCs w:val="15"/>
              </w:rPr>
            </w:pPr>
            <w:r>
              <w:rPr>
                <w:rFonts w:hint="eastAsia"/>
                <w:b/>
                <w:color w:val="auto"/>
                <w:sz w:val="15"/>
                <w:szCs w:val="15"/>
              </w:rPr>
              <w:t>验收监测时工况</w:t>
            </w:r>
          </w:p>
        </w:tc>
        <w:tc>
          <w:tcPr>
            <w:tcW w:w="2078" w:type="dxa"/>
            <w:gridSpan w:val="4"/>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pPr>
              <w:spacing w:line="180" w:lineRule="exact"/>
              <w:ind w:firstLine="0" w:firstLineChars="0"/>
              <w:rPr>
                <w:bCs/>
                <w:color w:val="auto"/>
                <w:sz w:val="15"/>
                <w:szCs w:val="15"/>
              </w:rPr>
            </w:pPr>
            <w:r>
              <w:rPr>
                <w:rFonts w:hint="eastAsia"/>
                <w:bCs/>
                <w:color w:val="auto"/>
                <w:sz w:val="15"/>
                <w:szCs w:val="15"/>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exact"/>
          <w:jc w:val="center"/>
        </w:trPr>
        <w:tc>
          <w:tcPr>
            <w:tcW w:w="392" w:type="dxa"/>
            <w:vMerge w:val="continue"/>
            <w:tcBorders>
              <w:top w:val="single" w:color="auto" w:sz="8" w:space="0"/>
              <w:left w:val="single" w:color="auto" w:sz="8" w:space="0"/>
              <w:bottom w:val="single" w:color="auto" w:sz="4" w:space="0"/>
              <w:right w:val="single" w:color="auto" w:sz="4" w:space="0"/>
            </w:tcBorders>
          </w:tcPr>
          <w:p>
            <w:pPr>
              <w:widowControl/>
              <w:spacing w:line="180" w:lineRule="exact"/>
              <w:ind w:firstLine="0" w:firstLineChars="0"/>
              <w:rPr>
                <w:b/>
                <w:color w:val="auto"/>
                <w:sz w:val="15"/>
                <w:szCs w:val="15"/>
              </w:rPr>
            </w:pPr>
          </w:p>
        </w:tc>
        <w:tc>
          <w:tcPr>
            <w:tcW w:w="1914" w:type="dxa"/>
            <w:gridSpan w:val="3"/>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color w:val="auto"/>
                <w:sz w:val="15"/>
                <w:szCs w:val="15"/>
              </w:rPr>
            </w:pPr>
            <w:r>
              <w:rPr>
                <w:rFonts w:hint="eastAsia"/>
                <w:b/>
                <w:color w:val="auto"/>
                <w:sz w:val="15"/>
                <w:szCs w:val="15"/>
              </w:rPr>
              <w:t>投资总概算（万元）</w:t>
            </w:r>
          </w:p>
        </w:tc>
        <w:tc>
          <w:tcPr>
            <w:tcW w:w="5035" w:type="dxa"/>
            <w:gridSpan w:val="6"/>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Cs/>
                <w:color w:val="auto"/>
                <w:sz w:val="15"/>
                <w:szCs w:val="15"/>
              </w:rPr>
            </w:pPr>
            <w:r>
              <w:rPr>
                <w:rFonts w:hint="eastAsia"/>
                <w:bCs/>
                <w:color w:val="auto"/>
                <w:sz w:val="15"/>
                <w:szCs w:val="15"/>
              </w:rPr>
              <w:t>110</w:t>
            </w:r>
          </w:p>
        </w:tc>
        <w:tc>
          <w:tcPr>
            <w:tcW w:w="2376"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tabs>
                <w:tab w:val="left" w:pos="690"/>
              </w:tabs>
              <w:spacing w:line="180" w:lineRule="exact"/>
              <w:ind w:firstLine="0" w:firstLineChars="0"/>
              <w:rPr>
                <w:color w:val="auto"/>
                <w:sz w:val="15"/>
                <w:szCs w:val="15"/>
              </w:rPr>
            </w:pPr>
            <w:r>
              <w:rPr>
                <w:rFonts w:hint="eastAsia"/>
                <w:b/>
                <w:color w:val="auto"/>
                <w:sz w:val="15"/>
                <w:szCs w:val="15"/>
              </w:rPr>
              <w:t>环保投资总概算（万元）</w:t>
            </w:r>
          </w:p>
        </w:tc>
        <w:tc>
          <w:tcPr>
            <w:tcW w:w="1970"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Cs/>
                <w:color w:val="auto"/>
                <w:sz w:val="15"/>
                <w:szCs w:val="15"/>
              </w:rPr>
            </w:pPr>
            <w:r>
              <w:rPr>
                <w:rFonts w:hint="eastAsia"/>
                <w:bCs/>
                <w:color w:val="auto"/>
                <w:sz w:val="15"/>
                <w:szCs w:val="15"/>
              </w:rPr>
              <w:t>30</w:t>
            </w:r>
          </w:p>
        </w:tc>
        <w:tc>
          <w:tcPr>
            <w:tcW w:w="1747"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tabs>
                <w:tab w:val="left" w:pos="690"/>
              </w:tabs>
              <w:spacing w:line="180" w:lineRule="exact"/>
              <w:ind w:firstLine="0" w:firstLineChars="0"/>
              <w:rPr>
                <w:color w:val="auto"/>
                <w:sz w:val="15"/>
                <w:szCs w:val="15"/>
              </w:rPr>
            </w:pPr>
            <w:r>
              <w:rPr>
                <w:rFonts w:hint="eastAsia"/>
                <w:b/>
                <w:color w:val="auto"/>
                <w:sz w:val="15"/>
                <w:szCs w:val="15"/>
              </w:rPr>
              <w:t>所占比例（</w:t>
            </w:r>
            <w:r>
              <w:rPr>
                <w:b/>
                <w:color w:val="auto"/>
                <w:sz w:val="15"/>
                <w:szCs w:val="15"/>
              </w:rPr>
              <w:t>%</w:t>
            </w:r>
            <w:r>
              <w:rPr>
                <w:rFonts w:hint="eastAsia"/>
                <w:b/>
                <w:color w:val="auto"/>
                <w:sz w:val="15"/>
                <w:szCs w:val="15"/>
              </w:rPr>
              <w:t>）</w:t>
            </w:r>
          </w:p>
        </w:tc>
        <w:tc>
          <w:tcPr>
            <w:tcW w:w="2078" w:type="dxa"/>
            <w:gridSpan w:val="4"/>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pPr>
              <w:spacing w:line="180" w:lineRule="exact"/>
              <w:ind w:firstLine="0" w:firstLineChars="0"/>
              <w:rPr>
                <w:bCs/>
                <w:color w:val="auto"/>
                <w:sz w:val="15"/>
                <w:szCs w:val="15"/>
              </w:rPr>
            </w:pPr>
            <w:r>
              <w:rPr>
                <w:rFonts w:hint="eastAsia"/>
                <w:bCs/>
                <w:color w:val="auto"/>
                <w:sz w:val="15"/>
                <w:szCs w:val="15"/>
              </w:rPr>
              <w:t>27.27</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exact"/>
          <w:jc w:val="center"/>
        </w:trPr>
        <w:tc>
          <w:tcPr>
            <w:tcW w:w="392" w:type="dxa"/>
            <w:vMerge w:val="continue"/>
            <w:tcBorders>
              <w:top w:val="single" w:color="auto" w:sz="8" w:space="0"/>
              <w:left w:val="single" w:color="auto" w:sz="8" w:space="0"/>
              <w:bottom w:val="single" w:color="auto" w:sz="4" w:space="0"/>
              <w:right w:val="single" w:color="auto" w:sz="4" w:space="0"/>
            </w:tcBorders>
          </w:tcPr>
          <w:p>
            <w:pPr>
              <w:widowControl/>
              <w:spacing w:line="180" w:lineRule="exact"/>
              <w:ind w:firstLine="0" w:firstLineChars="0"/>
              <w:rPr>
                <w:b/>
                <w:color w:val="auto"/>
                <w:sz w:val="15"/>
                <w:szCs w:val="15"/>
              </w:rPr>
            </w:pPr>
          </w:p>
        </w:tc>
        <w:tc>
          <w:tcPr>
            <w:tcW w:w="1914" w:type="dxa"/>
            <w:gridSpan w:val="3"/>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color w:val="auto"/>
                <w:sz w:val="15"/>
                <w:szCs w:val="15"/>
              </w:rPr>
            </w:pPr>
            <w:r>
              <w:rPr>
                <w:rFonts w:hint="eastAsia"/>
                <w:b/>
                <w:color w:val="auto"/>
                <w:sz w:val="15"/>
                <w:szCs w:val="15"/>
              </w:rPr>
              <w:t>实际总投资（万元）</w:t>
            </w:r>
          </w:p>
        </w:tc>
        <w:tc>
          <w:tcPr>
            <w:tcW w:w="5035" w:type="dxa"/>
            <w:gridSpan w:val="6"/>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Cs/>
                <w:color w:val="auto"/>
                <w:sz w:val="15"/>
                <w:szCs w:val="15"/>
              </w:rPr>
            </w:pPr>
            <w:r>
              <w:rPr>
                <w:rFonts w:hint="eastAsia"/>
                <w:bCs/>
                <w:color w:val="auto"/>
                <w:sz w:val="15"/>
                <w:szCs w:val="15"/>
              </w:rPr>
              <w:t>110</w:t>
            </w:r>
          </w:p>
        </w:tc>
        <w:tc>
          <w:tcPr>
            <w:tcW w:w="2376"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right="300" w:firstLine="0" w:firstLineChars="0"/>
              <w:rPr>
                <w:b/>
                <w:color w:val="auto"/>
                <w:sz w:val="15"/>
                <w:szCs w:val="15"/>
              </w:rPr>
            </w:pPr>
            <w:r>
              <w:rPr>
                <w:rFonts w:hint="eastAsia"/>
                <w:b/>
                <w:color w:val="auto"/>
                <w:sz w:val="15"/>
                <w:szCs w:val="15"/>
              </w:rPr>
              <w:t>实际环保投资（万元）</w:t>
            </w:r>
          </w:p>
        </w:tc>
        <w:tc>
          <w:tcPr>
            <w:tcW w:w="1970"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Cs/>
                <w:color w:val="auto"/>
                <w:sz w:val="15"/>
                <w:szCs w:val="15"/>
              </w:rPr>
            </w:pPr>
            <w:r>
              <w:rPr>
                <w:rFonts w:hint="eastAsia"/>
                <w:bCs/>
                <w:color w:val="auto"/>
                <w:sz w:val="15"/>
                <w:szCs w:val="15"/>
              </w:rPr>
              <w:t>30</w:t>
            </w:r>
          </w:p>
        </w:tc>
        <w:tc>
          <w:tcPr>
            <w:tcW w:w="1747"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color w:val="auto"/>
                <w:sz w:val="15"/>
                <w:szCs w:val="15"/>
              </w:rPr>
            </w:pPr>
            <w:r>
              <w:rPr>
                <w:rFonts w:hint="eastAsia"/>
                <w:b/>
                <w:color w:val="auto"/>
                <w:sz w:val="15"/>
                <w:szCs w:val="15"/>
              </w:rPr>
              <w:t>所占比例（</w:t>
            </w:r>
            <w:r>
              <w:rPr>
                <w:b/>
                <w:color w:val="auto"/>
                <w:sz w:val="15"/>
                <w:szCs w:val="15"/>
              </w:rPr>
              <w:t>%</w:t>
            </w:r>
            <w:r>
              <w:rPr>
                <w:rFonts w:hint="eastAsia"/>
                <w:b/>
                <w:color w:val="auto"/>
                <w:sz w:val="15"/>
                <w:szCs w:val="15"/>
              </w:rPr>
              <w:t>）</w:t>
            </w:r>
          </w:p>
        </w:tc>
        <w:tc>
          <w:tcPr>
            <w:tcW w:w="2078" w:type="dxa"/>
            <w:gridSpan w:val="4"/>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pPr>
              <w:spacing w:line="180" w:lineRule="exact"/>
              <w:ind w:firstLine="0" w:firstLineChars="0"/>
              <w:rPr>
                <w:bCs/>
                <w:color w:val="auto"/>
                <w:sz w:val="15"/>
                <w:szCs w:val="15"/>
              </w:rPr>
            </w:pPr>
            <w:r>
              <w:rPr>
                <w:rFonts w:hint="eastAsia"/>
                <w:bCs/>
                <w:color w:val="auto"/>
                <w:sz w:val="15"/>
                <w:szCs w:val="15"/>
              </w:rPr>
              <w:t>27.27</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exact"/>
          <w:jc w:val="center"/>
        </w:trPr>
        <w:tc>
          <w:tcPr>
            <w:tcW w:w="392" w:type="dxa"/>
            <w:vMerge w:val="continue"/>
            <w:tcBorders>
              <w:top w:val="single" w:color="auto" w:sz="8" w:space="0"/>
              <w:left w:val="single" w:color="auto" w:sz="8" w:space="0"/>
              <w:bottom w:val="single" w:color="auto" w:sz="4" w:space="0"/>
              <w:right w:val="single" w:color="auto" w:sz="4" w:space="0"/>
            </w:tcBorders>
          </w:tcPr>
          <w:p>
            <w:pPr>
              <w:widowControl/>
              <w:spacing w:line="180" w:lineRule="exact"/>
              <w:ind w:firstLine="0" w:firstLineChars="0"/>
              <w:rPr>
                <w:b/>
                <w:color w:val="auto"/>
                <w:sz w:val="15"/>
                <w:szCs w:val="15"/>
              </w:rPr>
            </w:pPr>
          </w:p>
        </w:tc>
        <w:tc>
          <w:tcPr>
            <w:tcW w:w="1914" w:type="dxa"/>
            <w:gridSpan w:val="3"/>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color w:val="auto"/>
                <w:sz w:val="15"/>
                <w:szCs w:val="15"/>
              </w:rPr>
            </w:pPr>
            <w:r>
              <w:rPr>
                <w:rFonts w:hint="eastAsia"/>
                <w:b/>
                <w:color w:val="auto"/>
                <w:sz w:val="15"/>
                <w:szCs w:val="15"/>
              </w:rPr>
              <w:t>废水治理（万元）</w:t>
            </w:r>
          </w:p>
        </w:tc>
        <w:tc>
          <w:tcPr>
            <w:tcW w:w="78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color w:val="auto"/>
                <w:sz w:val="15"/>
                <w:szCs w:val="15"/>
              </w:rPr>
            </w:pPr>
          </w:p>
        </w:tc>
        <w:tc>
          <w:tcPr>
            <w:tcW w:w="1330"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color w:val="auto"/>
                <w:sz w:val="15"/>
                <w:szCs w:val="15"/>
              </w:rPr>
            </w:pPr>
            <w:r>
              <w:rPr>
                <w:rFonts w:hint="eastAsia"/>
                <w:b/>
                <w:color w:val="auto"/>
                <w:sz w:val="15"/>
                <w:szCs w:val="15"/>
              </w:rPr>
              <w:t>废气治理（万元）</w:t>
            </w:r>
          </w:p>
        </w:tc>
        <w:tc>
          <w:tcPr>
            <w:tcW w:w="105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color w:val="auto"/>
                <w:sz w:val="15"/>
                <w:szCs w:val="15"/>
              </w:rPr>
            </w:pPr>
          </w:p>
        </w:tc>
        <w:tc>
          <w:tcPr>
            <w:tcW w:w="1530"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color w:val="auto"/>
                <w:sz w:val="15"/>
                <w:szCs w:val="15"/>
              </w:rPr>
            </w:pPr>
            <w:r>
              <w:rPr>
                <w:rFonts w:hint="eastAsia"/>
                <w:b/>
                <w:color w:val="auto"/>
                <w:sz w:val="15"/>
                <w:szCs w:val="15"/>
              </w:rPr>
              <w:t>噪声治理（万元）</w:t>
            </w:r>
          </w:p>
        </w:tc>
        <w:tc>
          <w:tcPr>
            <w:tcW w:w="332"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color w:val="auto"/>
                <w:sz w:val="15"/>
                <w:szCs w:val="15"/>
              </w:rPr>
            </w:pPr>
          </w:p>
        </w:tc>
        <w:tc>
          <w:tcPr>
            <w:tcW w:w="2376"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color w:val="auto"/>
                <w:sz w:val="15"/>
                <w:szCs w:val="15"/>
              </w:rPr>
            </w:pPr>
            <w:r>
              <w:rPr>
                <w:rFonts w:hint="eastAsia"/>
                <w:b/>
                <w:color w:val="auto"/>
                <w:sz w:val="15"/>
                <w:szCs w:val="15"/>
              </w:rPr>
              <w:t>固体废物治理（万元）</w:t>
            </w:r>
          </w:p>
        </w:tc>
        <w:tc>
          <w:tcPr>
            <w:tcW w:w="1970"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color w:val="auto"/>
                <w:sz w:val="15"/>
                <w:szCs w:val="15"/>
              </w:rPr>
            </w:pPr>
          </w:p>
        </w:tc>
        <w:tc>
          <w:tcPr>
            <w:tcW w:w="1747"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color w:val="auto"/>
                <w:sz w:val="15"/>
                <w:szCs w:val="15"/>
              </w:rPr>
            </w:pPr>
            <w:r>
              <w:rPr>
                <w:rFonts w:hint="eastAsia"/>
                <w:b/>
                <w:color w:val="auto"/>
                <w:sz w:val="15"/>
                <w:szCs w:val="15"/>
              </w:rPr>
              <w:t>绿化及生态（万元）</w:t>
            </w:r>
          </w:p>
        </w:tc>
        <w:tc>
          <w:tcPr>
            <w:tcW w:w="202"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color w:val="auto"/>
                <w:sz w:val="15"/>
                <w:szCs w:val="15"/>
              </w:rPr>
            </w:pPr>
            <w:r>
              <w:rPr>
                <w:rFonts w:hint="eastAsia"/>
                <w:color w:val="auto"/>
                <w:sz w:val="15"/>
                <w:szCs w:val="15"/>
              </w:rPr>
              <w:t>0</w:t>
            </w:r>
          </w:p>
        </w:tc>
        <w:tc>
          <w:tcPr>
            <w:tcW w:w="1060"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color w:val="auto"/>
                <w:sz w:val="15"/>
                <w:szCs w:val="15"/>
              </w:rPr>
            </w:pPr>
            <w:r>
              <w:rPr>
                <w:rFonts w:hint="eastAsia"/>
                <w:b/>
                <w:color w:val="auto"/>
                <w:sz w:val="15"/>
                <w:szCs w:val="15"/>
              </w:rPr>
              <w:t>其他（万元）</w:t>
            </w:r>
          </w:p>
        </w:tc>
        <w:tc>
          <w:tcPr>
            <w:tcW w:w="816" w:type="dxa"/>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pPr>
              <w:spacing w:line="180" w:lineRule="exact"/>
              <w:ind w:firstLine="0" w:firstLineChars="0"/>
              <w:rPr>
                <w:color w:val="auto"/>
                <w:sz w:val="15"/>
                <w:szCs w:val="15"/>
              </w:rPr>
            </w:pPr>
            <w:r>
              <w:rPr>
                <w:rFonts w:hint="eastAsia"/>
                <w:color w:val="auto"/>
                <w:sz w:val="15"/>
                <w:szCs w:val="15"/>
              </w:rPr>
              <w:t>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exact"/>
          <w:jc w:val="center"/>
        </w:trPr>
        <w:tc>
          <w:tcPr>
            <w:tcW w:w="392" w:type="dxa"/>
            <w:vMerge w:val="continue"/>
            <w:tcBorders>
              <w:top w:val="single" w:color="auto" w:sz="8" w:space="0"/>
              <w:left w:val="single" w:color="auto" w:sz="8" w:space="0"/>
              <w:bottom w:val="single" w:color="auto" w:sz="4" w:space="0"/>
              <w:right w:val="single" w:color="auto" w:sz="4" w:space="0"/>
            </w:tcBorders>
          </w:tcPr>
          <w:p>
            <w:pPr>
              <w:widowControl/>
              <w:spacing w:line="180" w:lineRule="exact"/>
              <w:ind w:firstLine="0" w:firstLineChars="0"/>
              <w:rPr>
                <w:b/>
                <w:color w:val="auto"/>
                <w:sz w:val="15"/>
                <w:szCs w:val="15"/>
              </w:rPr>
            </w:pPr>
          </w:p>
        </w:tc>
        <w:tc>
          <w:tcPr>
            <w:tcW w:w="1914" w:type="dxa"/>
            <w:gridSpan w:val="3"/>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color w:val="auto"/>
                <w:sz w:val="15"/>
                <w:szCs w:val="15"/>
              </w:rPr>
            </w:pPr>
            <w:r>
              <w:rPr>
                <w:rFonts w:hint="eastAsia"/>
                <w:b/>
                <w:color w:val="auto"/>
                <w:sz w:val="15"/>
                <w:szCs w:val="15"/>
              </w:rPr>
              <w:t>新增废水处理设施能力</w:t>
            </w:r>
          </w:p>
        </w:tc>
        <w:tc>
          <w:tcPr>
            <w:tcW w:w="5035" w:type="dxa"/>
            <w:gridSpan w:val="6"/>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color w:val="auto"/>
                <w:sz w:val="15"/>
                <w:szCs w:val="15"/>
              </w:rPr>
            </w:pPr>
            <w:r>
              <w:rPr>
                <w:color w:val="auto"/>
                <w:sz w:val="15"/>
                <w:szCs w:val="15"/>
              </w:rPr>
              <w:t>--</w:t>
            </w:r>
          </w:p>
        </w:tc>
        <w:tc>
          <w:tcPr>
            <w:tcW w:w="2376"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color w:val="auto"/>
                <w:sz w:val="15"/>
                <w:szCs w:val="15"/>
              </w:rPr>
            </w:pPr>
            <w:r>
              <w:rPr>
                <w:rFonts w:hint="eastAsia"/>
                <w:b/>
                <w:color w:val="auto"/>
                <w:sz w:val="15"/>
                <w:szCs w:val="15"/>
              </w:rPr>
              <w:t>新增废气处理设施能力</w:t>
            </w:r>
          </w:p>
        </w:tc>
        <w:tc>
          <w:tcPr>
            <w:tcW w:w="1970"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color w:val="auto"/>
                <w:sz w:val="15"/>
                <w:szCs w:val="15"/>
              </w:rPr>
            </w:pPr>
            <w:r>
              <w:rPr>
                <w:color w:val="auto"/>
                <w:sz w:val="15"/>
                <w:szCs w:val="15"/>
              </w:rPr>
              <w:t>--</w:t>
            </w:r>
          </w:p>
        </w:tc>
        <w:tc>
          <w:tcPr>
            <w:tcW w:w="1747"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color w:val="auto"/>
                <w:sz w:val="15"/>
                <w:szCs w:val="15"/>
              </w:rPr>
            </w:pPr>
            <w:r>
              <w:rPr>
                <w:rFonts w:hint="eastAsia"/>
                <w:b/>
                <w:color w:val="auto"/>
                <w:sz w:val="15"/>
                <w:szCs w:val="15"/>
              </w:rPr>
              <w:t>年平均工作时间</w:t>
            </w:r>
          </w:p>
        </w:tc>
        <w:tc>
          <w:tcPr>
            <w:tcW w:w="2078" w:type="dxa"/>
            <w:gridSpan w:val="4"/>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pPr>
              <w:spacing w:line="180" w:lineRule="exact"/>
              <w:ind w:firstLine="0" w:firstLineChars="0"/>
              <w:rPr>
                <w:color w:val="auto"/>
                <w:sz w:val="15"/>
                <w:szCs w:val="15"/>
              </w:rPr>
            </w:pPr>
            <w:r>
              <w:rPr>
                <w:rFonts w:hint="eastAsia"/>
                <w:color w:val="auto"/>
                <w:sz w:val="15"/>
                <w:szCs w:val="15"/>
              </w:rPr>
              <w:t>24</w:t>
            </w:r>
            <w:r>
              <w:rPr>
                <w:color w:val="auto"/>
                <w:sz w:val="15"/>
                <w:szCs w:val="15"/>
              </w:rPr>
              <w:t>00h</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407" w:hRule="exact"/>
          <w:jc w:val="center"/>
        </w:trPr>
        <w:tc>
          <w:tcPr>
            <w:tcW w:w="2306" w:type="dxa"/>
            <w:gridSpan w:val="4"/>
            <w:tcBorders>
              <w:top w:val="single" w:color="auto" w:sz="4" w:space="0"/>
              <w:left w:val="single" w:color="auto" w:sz="8"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color w:val="auto"/>
                <w:sz w:val="15"/>
                <w:szCs w:val="15"/>
              </w:rPr>
            </w:pPr>
            <w:r>
              <w:rPr>
                <w:rFonts w:hint="eastAsia"/>
                <w:b/>
                <w:color w:val="auto"/>
                <w:sz w:val="15"/>
                <w:szCs w:val="15"/>
              </w:rPr>
              <w:t>运营单位</w:t>
            </w:r>
          </w:p>
        </w:tc>
        <w:tc>
          <w:tcPr>
            <w:tcW w:w="4051" w:type="dxa"/>
            <w:gridSpan w:val="4"/>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color w:val="auto"/>
                <w:sz w:val="15"/>
                <w:szCs w:val="15"/>
              </w:rPr>
            </w:pPr>
            <w:r>
              <w:rPr>
                <w:rFonts w:hint="eastAsia"/>
                <w:bCs/>
                <w:color w:val="auto"/>
                <w:sz w:val="15"/>
                <w:szCs w:val="15"/>
              </w:rPr>
              <w:t>茂名市富临门科技有限公司</w:t>
            </w:r>
          </w:p>
        </w:tc>
        <w:tc>
          <w:tcPr>
            <w:tcW w:w="3360" w:type="dxa"/>
            <w:gridSpan w:val="4"/>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color w:val="auto"/>
                <w:sz w:val="15"/>
                <w:szCs w:val="15"/>
              </w:rPr>
            </w:pPr>
            <w:r>
              <w:rPr>
                <w:rFonts w:hint="eastAsia"/>
                <w:b/>
                <w:color w:val="auto"/>
                <w:sz w:val="15"/>
                <w:szCs w:val="15"/>
              </w:rPr>
              <w:t>运营单位社会统一信用代码(或组织机构代码)</w:t>
            </w:r>
          </w:p>
        </w:tc>
        <w:tc>
          <w:tcPr>
            <w:tcW w:w="1970"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color w:val="auto"/>
                <w:sz w:val="15"/>
                <w:szCs w:val="15"/>
              </w:rPr>
            </w:pPr>
            <w:r>
              <w:rPr>
                <w:bCs/>
                <w:color w:val="auto"/>
                <w:sz w:val="15"/>
                <w:szCs w:val="15"/>
              </w:rPr>
              <w:t>91440904MACEAQT01A</w:t>
            </w:r>
          </w:p>
        </w:tc>
        <w:tc>
          <w:tcPr>
            <w:tcW w:w="1747"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color w:val="auto"/>
                <w:sz w:val="15"/>
                <w:szCs w:val="15"/>
              </w:rPr>
            </w:pPr>
            <w:r>
              <w:rPr>
                <w:rFonts w:hint="eastAsia"/>
                <w:b/>
                <w:color w:val="auto"/>
                <w:sz w:val="15"/>
                <w:szCs w:val="15"/>
              </w:rPr>
              <w:t>验收时间</w:t>
            </w:r>
          </w:p>
        </w:tc>
        <w:tc>
          <w:tcPr>
            <w:tcW w:w="2078" w:type="dxa"/>
            <w:gridSpan w:val="4"/>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pPr>
              <w:spacing w:line="180" w:lineRule="exact"/>
              <w:ind w:firstLine="0" w:firstLineChars="0"/>
              <w:rPr>
                <w:color w:val="auto"/>
                <w:sz w:val="15"/>
                <w:szCs w:val="15"/>
              </w:rPr>
            </w:pPr>
            <w:r>
              <w:rPr>
                <w:rFonts w:hint="eastAsia"/>
                <w:color w:val="auto"/>
                <w:sz w:val="15"/>
                <w:szCs w:val="15"/>
              </w:rPr>
              <w:t>2025年12月25日</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379" w:hRule="exact"/>
          <w:jc w:val="center"/>
        </w:trPr>
        <w:tc>
          <w:tcPr>
            <w:tcW w:w="522" w:type="dxa"/>
            <w:gridSpan w:val="2"/>
            <w:vMerge w:val="restart"/>
            <w:tcBorders>
              <w:top w:val="single" w:color="auto" w:sz="4" w:space="0"/>
              <w:left w:val="single" w:color="auto" w:sz="8" w:space="0"/>
              <w:bottom w:val="single" w:color="auto" w:sz="8" w:space="0"/>
              <w:right w:val="single" w:color="auto" w:sz="4" w:space="0"/>
            </w:tcBorders>
            <w:tcMar>
              <w:top w:w="0" w:type="dxa"/>
              <w:left w:w="57" w:type="dxa"/>
              <w:bottom w:w="0" w:type="dxa"/>
              <w:right w:w="57" w:type="dxa"/>
            </w:tcMar>
            <w:vAlign w:val="center"/>
          </w:tcPr>
          <w:p>
            <w:pPr>
              <w:spacing w:line="180" w:lineRule="exact"/>
              <w:ind w:firstLine="0" w:firstLineChars="0"/>
              <w:rPr>
                <w:rFonts w:eastAsia="黑体"/>
                <w:b/>
                <w:color w:val="auto"/>
                <w:spacing w:val="20"/>
                <w:sz w:val="15"/>
                <w:szCs w:val="15"/>
              </w:rPr>
            </w:pPr>
            <w:r>
              <w:rPr>
                <w:rFonts w:hint="eastAsia" w:eastAsia="黑体"/>
                <w:b/>
                <w:color w:val="auto"/>
                <w:spacing w:val="20"/>
                <w:sz w:val="15"/>
                <w:szCs w:val="15"/>
              </w:rPr>
              <w:t>污染</w:t>
            </w:r>
          </w:p>
          <w:p>
            <w:pPr>
              <w:spacing w:line="180" w:lineRule="exact"/>
              <w:ind w:firstLine="0" w:firstLineChars="0"/>
              <w:rPr>
                <w:rFonts w:eastAsia="黑体"/>
                <w:b/>
                <w:color w:val="auto"/>
                <w:spacing w:val="20"/>
                <w:sz w:val="15"/>
                <w:szCs w:val="15"/>
              </w:rPr>
            </w:pPr>
            <w:r>
              <w:rPr>
                <w:rFonts w:hint="eastAsia" w:eastAsia="黑体"/>
                <w:b/>
                <w:color w:val="auto"/>
                <w:spacing w:val="20"/>
                <w:sz w:val="15"/>
                <w:szCs w:val="15"/>
              </w:rPr>
              <w:t>物排</w:t>
            </w:r>
          </w:p>
          <w:p>
            <w:pPr>
              <w:spacing w:line="180" w:lineRule="exact"/>
              <w:ind w:firstLine="0" w:firstLineChars="0"/>
              <w:rPr>
                <w:rFonts w:eastAsia="黑体"/>
                <w:b/>
                <w:color w:val="auto"/>
                <w:spacing w:val="20"/>
                <w:sz w:val="15"/>
                <w:szCs w:val="15"/>
              </w:rPr>
            </w:pPr>
            <w:r>
              <w:rPr>
                <w:rFonts w:hint="eastAsia" w:eastAsia="黑体"/>
                <w:b/>
                <w:color w:val="auto"/>
                <w:spacing w:val="20"/>
                <w:sz w:val="15"/>
                <w:szCs w:val="15"/>
              </w:rPr>
              <w:t>放达</w:t>
            </w:r>
          </w:p>
          <w:p>
            <w:pPr>
              <w:spacing w:line="180" w:lineRule="exact"/>
              <w:ind w:firstLine="0" w:firstLineChars="0"/>
              <w:rPr>
                <w:rFonts w:eastAsia="黑体"/>
                <w:b/>
                <w:color w:val="auto"/>
                <w:spacing w:val="20"/>
                <w:sz w:val="15"/>
                <w:szCs w:val="15"/>
              </w:rPr>
            </w:pPr>
            <w:r>
              <w:rPr>
                <w:rFonts w:hint="eastAsia" w:eastAsia="黑体"/>
                <w:b/>
                <w:color w:val="auto"/>
                <w:spacing w:val="20"/>
                <w:sz w:val="15"/>
                <w:szCs w:val="15"/>
              </w:rPr>
              <w:t>标与</w:t>
            </w:r>
          </w:p>
          <w:p>
            <w:pPr>
              <w:spacing w:line="180" w:lineRule="exact"/>
              <w:ind w:firstLine="0" w:firstLineChars="0"/>
              <w:rPr>
                <w:rFonts w:eastAsia="黑体"/>
                <w:b/>
                <w:color w:val="auto"/>
                <w:spacing w:val="20"/>
                <w:sz w:val="15"/>
                <w:szCs w:val="15"/>
              </w:rPr>
            </w:pPr>
            <w:r>
              <w:rPr>
                <w:rFonts w:hint="eastAsia" w:eastAsia="黑体"/>
                <w:b/>
                <w:color w:val="auto"/>
                <w:spacing w:val="20"/>
                <w:sz w:val="15"/>
                <w:szCs w:val="15"/>
              </w:rPr>
              <w:t>总量</w:t>
            </w:r>
          </w:p>
          <w:p>
            <w:pPr>
              <w:spacing w:line="180" w:lineRule="exact"/>
              <w:ind w:firstLine="0" w:firstLineChars="0"/>
              <w:rPr>
                <w:rFonts w:eastAsia="黑体"/>
                <w:b/>
                <w:color w:val="auto"/>
                <w:spacing w:val="20"/>
                <w:sz w:val="15"/>
                <w:szCs w:val="15"/>
              </w:rPr>
            </w:pPr>
            <w:r>
              <w:rPr>
                <w:rFonts w:hint="eastAsia" w:eastAsia="黑体"/>
                <w:b/>
                <w:color w:val="auto"/>
                <w:spacing w:val="20"/>
                <w:sz w:val="15"/>
                <w:szCs w:val="15"/>
              </w:rPr>
              <w:t>控制</w:t>
            </w:r>
          </w:p>
          <w:p>
            <w:pPr>
              <w:spacing w:line="180" w:lineRule="exact"/>
              <w:ind w:firstLine="0" w:firstLineChars="0"/>
              <w:rPr>
                <w:rFonts w:eastAsia="黑体"/>
                <w:b/>
                <w:color w:val="auto"/>
                <w:spacing w:val="20"/>
                <w:sz w:val="15"/>
                <w:szCs w:val="15"/>
              </w:rPr>
            </w:pPr>
            <w:r>
              <w:rPr>
                <w:rFonts w:hint="eastAsia" w:eastAsia="黑体"/>
                <w:b/>
                <w:color w:val="auto"/>
                <w:spacing w:val="20"/>
                <w:sz w:val="15"/>
                <w:szCs w:val="15"/>
              </w:rPr>
              <w:t>（工</w:t>
            </w:r>
          </w:p>
          <w:p>
            <w:pPr>
              <w:spacing w:line="180" w:lineRule="exact"/>
              <w:ind w:firstLine="0" w:firstLineChars="0"/>
              <w:rPr>
                <w:rFonts w:eastAsia="黑体"/>
                <w:b/>
                <w:color w:val="auto"/>
                <w:spacing w:val="20"/>
                <w:sz w:val="15"/>
                <w:szCs w:val="15"/>
              </w:rPr>
            </w:pPr>
            <w:r>
              <w:rPr>
                <w:rFonts w:hint="eastAsia" w:eastAsia="黑体"/>
                <w:b/>
                <w:color w:val="auto"/>
                <w:spacing w:val="20"/>
                <w:sz w:val="15"/>
                <w:szCs w:val="15"/>
              </w:rPr>
              <w:t>业建</w:t>
            </w:r>
          </w:p>
          <w:p>
            <w:pPr>
              <w:spacing w:line="180" w:lineRule="exact"/>
              <w:ind w:firstLine="0" w:firstLineChars="0"/>
              <w:rPr>
                <w:rFonts w:eastAsia="黑体"/>
                <w:b/>
                <w:color w:val="auto"/>
                <w:spacing w:val="20"/>
                <w:sz w:val="15"/>
                <w:szCs w:val="15"/>
              </w:rPr>
            </w:pPr>
            <w:r>
              <w:rPr>
                <w:rFonts w:hint="eastAsia" w:eastAsia="黑体"/>
                <w:b/>
                <w:color w:val="auto"/>
                <w:spacing w:val="20"/>
                <w:sz w:val="15"/>
                <w:szCs w:val="15"/>
              </w:rPr>
              <w:t>设项</w:t>
            </w:r>
          </w:p>
          <w:p>
            <w:pPr>
              <w:spacing w:line="180" w:lineRule="exact"/>
              <w:ind w:firstLine="0" w:firstLineChars="0"/>
              <w:rPr>
                <w:rFonts w:eastAsia="黑体"/>
                <w:b/>
                <w:color w:val="auto"/>
                <w:spacing w:val="20"/>
                <w:sz w:val="15"/>
                <w:szCs w:val="15"/>
              </w:rPr>
            </w:pPr>
            <w:r>
              <w:rPr>
                <w:rFonts w:hint="eastAsia" w:eastAsia="黑体"/>
                <w:b/>
                <w:color w:val="auto"/>
                <w:spacing w:val="20"/>
                <w:sz w:val="15"/>
                <w:szCs w:val="15"/>
              </w:rPr>
              <w:t>目详</w:t>
            </w:r>
          </w:p>
          <w:p>
            <w:pPr>
              <w:spacing w:line="180" w:lineRule="exact"/>
              <w:ind w:firstLine="0" w:firstLineChars="0"/>
              <w:rPr>
                <w:rFonts w:eastAsia="黑体"/>
                <w:b/>
                <w:color w:val="auto"/>
                <w:spacing w:val="20"/>
                <w:sz w:val="15"/>
                <w:szCs w:val="15"/>
              </w:rPr>
            </w:pPr>
            <w:r>
              <w:rPr>
                <w:rFonts w:hint="eastAsia" w:eastAsia="黑体"/>
                <w:b/>
                <w:color w:val="auto"/>
                <w:spacing w:val="20"/>
                <w:sz w:val="15"/>
                <w:szCs w:val="15"/>
              </w:rPr>
              <w:t>填）</w:t>
            </w:r>
          </w:p>
        </w:tc>
        <w:tc>
          <w:tcPr>
            <w:tcW w:w="1784"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color w:val="auto"/>
                <w:sz w:val="15"/>
                <w:szCs w:val="15"/>
              </w:rPr>
            </w:pPr>
            <w:r>
              <w:rPr>
                <w:rFonts w:hint="eastAsia"/>
                <w:b/>
                <w:color w:val="auto"/>
                <w:sz w:val="15"/>
                <w:szCs w:val="15"/>
              </w:rPr>
              <w:t>污染物</w:t>
            </w:r>
          </w:p>
        </w:tc>
        <w:tc>
          <w:tcPr>
            <w:tcW w:w="78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color w:val="auto"/>
                <w:sz w:val="15"/>
                <w:szCs w:val="15"/>
              </w:rPr>
            </w:pPr>
            <w:r>
              <w:rPr>
                <w:rFonts w:hint="eastAsia"/>
                <w:b/>
                <w:color w:val="auto"/>
                <w:sz w:val="15"/>
                <w:szCs w:val="15"/>
              </w:rPr>
              <w:t>原有排</w:t>
            </w:r>
          </w:p>
          <w:p>
            <w:pPr>
              <w:spacing w:line="180" w:lineRule="exact"/>
              <w:ind w:firstLine="0" w:firstLineChars="0"/>
              <w:rPr>
                <w:b/>
                <w:color w:val="auto"/>
                <w:sz w:val="15"/>
                <w:szCs w:val="15"/>
              </w:rPr>
            </w:pPr>
            <w:r>
              <w:rPr>
                <w:rFonts w:hint="eastAsia"/>
                <w:b/>
                <w:color w:val="auto"/>
                <w:sz w:val="15"/>
                <w:szCs w:val="15"/>
              </w:rPr>
              <w:t>放量</w:t>
            </w:r>
            <w:r>
              <w:rPr>
                <w:b/>
                <w:color w:val="auto"/>
                <w:sz w:val="15"/>
                <w:szCs w:val="15"/>
              </w:rPr>
              <w:t>(1)</w:t>
            </w:r>
          </w:p>
        </w:tc>
        <w:tc>
          <w:tcPr>
            <w:tcW w:w="1330"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color w:val="auto"/>
                <w:sz w:val="15"/>
                <w:szCs w:val="15"/>
              </w:rPr>
            </w:pPr>
            <w:r>
              <w:rPr>
                <w:rFonts w:hint="eastAsia"/>
                <w:b/>
                <w:color w:val="auto"/>
                <w:sz w:val="15"/>
                <w:szCs w:val="15"/>
              </w:rPr>
              <w:t>本期工程实际排放浓度</w:t>
            </w:r>
            <w:r>
              <w:rPr>
                <w:b/>
                <w:color w:val="auto"/>
                <w:sz w:val="15"/>
                <w:szCs w:val="15"/>
              </w:rPr>
              <w:t>(2)</w:t>
            </w:r>
          </w:p>
        </w:tc>
        <w:tc>
          <w:tcPr>
            <w:tcW w:w="105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color w:val="auto"/>
                <w:sz w:val="15"/>
                <w:szCs w:val="15"/>
              </w:rPr>
            </w:pPr>
            <w:r>
              <w:rPr>
                <w:rFonts w:hint="eastAsia"/>
                <w:b/>
                <w:color w:val="auto"/>
                <w:sz w:val="15"/>
                <w:szCs w:val="15"/>
              </w:rPr>
              <w:t>本期工程允许排放浓度</w:t>
            </w:r>
            <w:r>
              <w:rPr>
                <w:b/>
                <w:color w:val="auto"/>
                <w:sz w:val="15"/>
                <w:szCs w:val="15"/>
              </w:rPr>
              <w:t>(3)</w:t>
            </w:r>
          </w:p>
        </w:tc>
        <w:tc>
          <w:tcPr>
            <w:tcW w:w="87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color w:val="auto"/>
                <w:sz w:val="15"/>
                <w:szCs w:val="15"/>
              </w:rPr>
            </w:pPr>
            <w:r>
              <w:rPr>
                <w:rFonts w:hint="eastAsia"/>
                <w:b/>
                <w:color w:val="auto"/>
                <w:sz w:val="15"/>
                <w:szCs w:val="15"/>
              </w:rPr>
              <w:t>本期工程产生量</w:t>
            </w:r>
            <w:r>
              <w:rPr>
                <w:b/>
                <w:color w:val="auto"/>
                <w:sz w:val="15"/>
                <w:szCs w:val="15"/>
              </w:rPr>
              <w:t>(4)</w:t>
            </w:r>
          </w:p>
        </w:tc>
        <w:tc>
          <w:tcPr>
            <w:tcW w:w="984"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color w:val="auto"/>
                <w:sz w:val="15"/>
                <w:szCs w:val="15"/>
              </w:rPr>
            </w:pPr>
            <w:r>
              <w:rPr>
                <w:rFonts w:hint="eastAsia"/>
                <w:b/>
                <w:color w:val="auto"/>
                <w:sz w:val="15"/>
                <w:szCs w:val="15"/>
              </w:rPr>
              <w:t>本期工程自身削减量</w:t>
            </w:r>
            <w:r>
              <w:rPr>
                <w:b/>
                <w:color w:val="auto"/>
                <w:sz w:val="15"/>
                <w:szCs w:val="15"/>
              </w:rPr>
              <w:t>(5)</w:t>
            </w:r>
          </w:p>
        </w:tc>
        <w:tc>
          <w:tcPr>
            <w:tcW w:w="140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color w:val="auto"/>
                <w:sz w:val="15"/>
                <w:szCs w:val="15"/>
              </w:rPr>
            </w:pPr>
            <w:r>
              <w:rPr>
                <w:rFonts w:hint="eastAsia"/>
                <w:b/>
                <w:color w:val="auto"/>
                <w:sz w:val="15"/>
                <w:szCs w:val="15"/>
              </w:rPr>
              <w:t>本期工程实际排放量</w:t>
            </w:r>
            <w:r>
              <w:rPr>
                <w:b/>
                <w:color w:val="auto"/>
                <w:sz w:val="15"/>
                <w:szCs w:val="15"/>
              </w:rPr>
              <w:t>(6)</w:t>
            </w:r>
          </w:p>
        </w:tc>
        <w:tc>
          <w:tcPr>
            <w:tcW w:w="96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color w:val="auto"/>
                <w:sz w:val="15"/>
                <w:szCs w:val="15"/>
              </w:rPr>
            </w:pPr>
            <w:r>
              <w:rPr>
                <w:rFonts w:hint="eastAsia"/>
                <w:b/>
                <w:color w:val="auto"/>
                <w:sz w:val="15"/>
                <w:szCs w:val="15"/>
              </w:rPr>
              <w:t>本期工程核定排放总量</w:t>
            </w:r>
            <w:r>
              <w:rPr>
                <w:b/>
                <w:color w:val="auto"/>
                <w:sz w:val="15"/>
                <w:szCs w:val="15"/>
              </w:rPr>
              <w:t>(7)</w:t>
            </w:r>
          </w:p>
        </w:tc>
        <w:tc>
          <w:tcPr>
            <w:tcW w:w="1970"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color w:val="auto"/>
                <w:sz w:val="15"/>
                <w:szCs w:val="15"/>
              </w:rPr>
            </w:pPr>
            <w:r>
              <w:rPr>
                <w:rFonts w:hint="eastAsia"/>
                <w:b/>
                <w:color w:val="auto"/>
                <w:sz w:val="15"/>
                <w:szCs w:val="15"/>
              </w:rPr>
              <w:t>本期工程</w:t>
            </w:r>
            <w:r>
              <w:rPr>
                <w:b/>
                <w:color w:val="auto"/>
                <w:sz w:val="15"/>
                <w:szCs w:val="15"/>
              </w:rPr>
              <w:t>“</w:t>
            </w:r>
            <w:r>
              <w:rPr>
                <w:rFonts w:hint="eastAsia"/>
                <w:b/>
                <w:color w:val="auto"/>
                <w:sz w:val="15"/>
                <w:szCs w:val="15"/>
              </w:rPr>
              <w:t>以新带老</w:t>
            </w:r>
            <w:r>
              <w:rPr>
                <w:b/>
                <w:color w:val="auto"/>
                <w:sz w:val="15"/>
                <w:szCs w:val="15"/>
              </w:rPr>
              <w:t>”</w:t>
            </w:r>
            <w:r>
              <w:rPr>
                <w:rFonts w:hint="eastAsia"/>
                <w:b/>
                <w:color w:val="auto"/>
                <w:sz w:val="15"/>
                <w:szCs w:val="15"/>
              </w:rPr>
              <w:t>削减量</w:t>
            </w:r>
            <w:r>
              <w:rPr>
                <w:b/>
                <w:color w:val="auto"/>
                <w:sz w:val="15"/>
                <w:szCs w:val="15"/>
              </w:rPr>
              <w:t>(8)</w:t>
            </w:r>
          </w:p>
        </w:tc>
        <w:tc>
          <w:tcPr>
            <w:tcW w:w="87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color w:val="auto"/>
                <w:sz w:val="15"/>
                <w:szCs w:val="15"/>
              </w:rPr>
            </w:pPr>
            <w:r>
              <w:rPr>
                <w:rFonts w:hint="eastAsia"/>
                <w:b/>
                <w:color w:val="auto"/>
                <w:sz w:val="15"/>
                <w:szCs w:val="15"/>
              </w:rPr>
              <w:t>全厂实际排放总量</w:t>
            </w:r>
            <w:r>
              <w:rPr>
                <w:b/>
                <w:color w:val="auto"/>
                <w:sz w:val="15"/>
                <w:szCs w:val="15"/>
              </w:rPr>
              <w:t>(9)</w:t>
            </w:r>
          </w:p>
        </w:tc>
        <w:tc>
          <w:tcPr>
            <w:tcW w:w="1071"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color w:val="auto"/>
                <w:sz w:val="15"/>
                <w:szCs w:val="15"/>
              </w:rPr>
            </w:pPr>
            <w:r>
              <w:rPr>
                <w:rFonts w:hint="eastAsia"/>
                <w:b/>
                <w:color w:val="auto"/>
                <w:sz w:val="15"/>
                <w:szCs w:val="15"/>
              </w:rPr>
              <w:t>全厂核定排放总量</w:t>
            </w:r>
            <w:r>
              <w:rPr>
                <w:b/>
                <w:color w:val="auto"/>
                <w:sz w:val="15"/>
                <w:szCs w:val="15"/>
              </w:rPr>
              <w:t>(10)</w:t>
            </w:r>
          </w:p>
        </w:tc>
        <w:tc>
          <w:tcPr>
            <w:tcW w:w="1060"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color w:val="auto"/>
                <w:sz w:val="15"/>
                <w:szCs w:val="15"/>
              </w:rPr>
            </w:pPr>
            <w:r>
              <w:rPr>
                <w:rFonts w:hint="eastAsia"/>
                <w:b/>
                <w:color w:val="auto"/>
                <w:sz w:val="15"/>
                <w:szCs w:val="15"/>
              </w:rPr>
              <w:t>区域平衡替代削减量</w:t>
            </w:r>
            <w:r>
              <w:rPr>
                <w:b/>
                <w:color w:val="auto"/>
                <w:sz w:val="15"/>
                <w:szCs w:val="15"/>
              </w:rPr>
              <w:t>(11)</w:t>
            </w:r>
          </w:p>
        </w:tc>
        <w:tc>
          <w:tcPr>
            <w:tcW w:w="816" w:type="dxa"/>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pPr>
              <w:spacing w:line="180" w:lineRule="exact"/>
              <w:ind w:firstLine="0" w:firstLineChars="0"/>
              <w:rPr>
                <w:b/>
                <w:color w:val="auto"/>
                <w:sz w:val="15"/>
                <w:szCs w:val="15"/>
              </w:rPr>
            </w:pPr>
            <w:r>
              <w:rPr>
                <w:rFonts w:hint="eastAsia"/>
                <w:b/>
                <w:color w:val="auto"/>
                <w:sz w:val="15"/>
                <w:szCs w:val="15"/>
              </w:rPr>
              <w:t>排放增减量</w:t>
            </w:r>
            <w:r>
              <w:rPr>
                <w:b/>
                <w:color w:val="auto"/>
                <w:sz w:val="15"/>
                <w:szCs w:val="15"/>
              </w:rPr>
              <w:t>(12)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exact"/>
          <w:jc w:val="center"/>
        </w:trPr>
        <w:tc>
          <w:tcPr>
            <w:tcW w:w="522" w:type="dxa"/>
            <w:gridSpan w:val="2"/>
            <w:vMerge w:val="continue"/>
            <w:tcBorders>
              <w:top w:val="single" w:color="auto" w:sz="4" w:space="0"/>
              <w:left w:val="single" w:color="auto" w:sz="8" w:space="0"/>
              <w:bottom w:val="single" w:color="auto" w:sz="8" w:space="0"/>
              <w:right w:val="single" w:color="auto" w:sz="4" w:space="0"/>
            </w:tcBorders>
            <w:vAlign w:val="center"/>
          </w:tcPr>
          <w:p>
            <w:pPr>
              <w:widowControl/>
              <w:spacing w:line="180" w:lineRule="exact"/>
              <w:ind w:firstLine="0" w:firstLineChars="0"/>
              <w:rPr>
                <w:rFonts w:eastAsia="黑体"/>
                <w:b/>
                <w:color w:val="auto"/>
                <w:spacing w:val="20"/>
                <w:sz w:val="15"/>
                <w:szCs w:val="15"/>
              </w:rPr>
            </w:pPr>
          </w:p>
        </w:tc>
        <w:tc>
          <w:tcPr>
            <w:tcW w:w="1784"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color w:val="auto"/>
                <w:sz w:val="15"/>
                <w:szCs w:val="15"/>
              </w:rPr>
            </w:pPr>
            <w:r>
              <w:rPr>
                <w:rFonts w:hint="eastAsia"/>
                <w:b/>
                <w:color w:val="auto"/>
                <w:sz w:val="15"/>
                <w:szCs w:val="15"/>
              </w:rPr>
              <w:t>废水</w:t>
            </w:r>
          </w:p>
        </w:tc>
        <w:tc>
          <w:tcPr>
            <w:tcW w:w="78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1330"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105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87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984"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140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96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1970"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87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1071"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1060"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816" w:type="dxa"/>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pPr>
              <w:pStyle w:val="33"/>
              <w:rPr>
                <w:color w:val="auto"/>
                <w:sz w:val="15"/>
                <w:szCs w:val="15"/>
              </w:rPr>
            </w:pPr>
            <w:r>
              <w:rPr>
                <w:bCs/>
                <w:color w:val="auto"/>
                <w:sz w:val="15"/>
                <w:szCs w:val="15"/>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exact"/>
          <w:jc w:val="center"/>
        </w:trPr>
        <w:tc>
          <w:tcPr>
            <w:tcW w:w="522" w:type="dxa"/>
            <w:gridSpan w:val="2"/>
            <w:vMerge w:val="continue"/>
            <w:tcBorders>
              <w:top w:val="single" w:color="auto" w:sz="4" w:space="0"/>
              <w:left w:val="single" w:color="auto" w:sz="8" w:space="0"/>
              <w:bottom w:val="single" w:color="auto" w:sz="8" w:space="0"/>
              <w:right w:val="single" w:color="auto" w:sz="4" w:space="0"/>
            </w:tcBorders>
            <w:vAlign w:val="center"/>
          </w:tcPr>
          <w:p>
            <w:pPr>
              <w:widowControl/>
              <w:spacing w:line="180" w:lineRule="exact"/>
              <w:ind w:firstLine="0" w:firstLineChars="0"/>
              <w:rPr>
                <w:rFonts w:eastAsia="黑体"/>
                <w:b/>
                <w:color w:val="auto"/>
                <w:spacing w:val="20"/>
                <w:sz w:val="15"/>
                <w:szCs w:val="15"/>
              </w:rPr>
            </w:pPr>
          </w:p>
        </w:tc>
        <w:tc>
          <w:tcPr>
            <w:tcW w:w="1784"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color w:val="auto"/>
                <w:sz w:val="15"/>
                <w:szCs w:val="15"/>
              </w:rPr>
            </w:pPr>
            <w:r>
              <w:rPr>
                <w:rFonts w:hint="eastAsia"/>
                <w:b/>
                <w:color w:val="auto"/>
                <w:sz w:val="15"/>
                <w:szCs w:val="15"/>
              </w:rPr>
              <w:t>化学需氧量</w:t>
            </w:r>
          </w:p>
        </w:tc>
        <w:tc>
          <w:tcPr>
            <w:tcW w:w="78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1330"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pPr>
              <w:spacing w:line="180" w:lineRule="exact"/>
              <w:ind w:firstLine="0" w:firstLineChars="0"/>
              <w:jc w:val="center"/>
              <w:rPr>
                <w:bCs/>
                <w:color w:val="auto"/>
                <w:sz w:val="15"/>
                <w:szCs w:val="15"/>
              </w:rPr>
            </w:pPr>
            <w:r>
              <w:rPr>
                <w:bCs/>
                <w:color w:val="auto"/>
                <w:sz w:val="15"/>
                <w:szCs w:val="15"/>
              </w:rPr>
              <w:t>--</w:t>
            </w:r>
          </w:p>
        </w:tc>
        <w:tc>
          <w:tcPr>
            <w:tcW w:w="105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pPr>
              <w:spacing w:line="180" w:lineRule="exact"/>
              <w:ind w:firstLine="0" w:firstLineChars="0"/>
              <w:jc w:val="center"/>
              <w:rPr>
                <w:bCs/>
                <w:color w:val="auto"/>
                <w:sz w:val="15"/>
                <w:szCs w:val="15"/>
              </w:rPr>
            </w:pPr>
            <w:r>
              <w:rPr>
                <w:bCs/>
                <w:color w:val="auto"/>
                <w:sz w:val="15"/>
                <w:szCs w:val="15"/>
              </w:rPr>
              <w:t>--</w:t>
            </w:r>
          </w:p>
        </w:tc>
        <w:tc>
          <w:tcPr>
            <w:tcW w:w="87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rFonts w:cs="Calibri"/>
                <w:bCs/>
                <w:color w:val="auto"/>
                <w:sz w:val="15"/>
                <w:szCs w:val="15"/>
              </w:rPr>
            </w:pPr>
            <w:r>
              <w:rPr>
                <w:bCs/>
                <w:color w:val="auto"/>
                <w:sz w:val="15"/>
                <w:szCs w:val="15"/>
              </w:rPr>
              <w:t>--</w:t>
            </w:r>
          </w:p>
        </w:tc>
        <w:tc>
          <w:tcPr>
            <w:tcW w:w="984"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rFonts w:cs="Calibri"/>
                <w:bCs/>
                <w:color w:val="auto"/>
                <w:sz w:val="15"/>
                <w:szCs w:val="15"/>
              </w:rPr>
            </w:pPr>
            <w:r>
              <w:rPr>
                <w:bCs/>
                <w:color w:val="auto"/>
                <w:sz w:val="15"/>
                <w:szCs w:val="15"/>
              </w:rPr>
              <w:t>--</w:t>
            </w:r>
          </w:p>
        </w:tc>
        <w:tc>
          <w:tcPr>
            <w:tcW w:w="140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rFonts w:cs="Calibri"/>
                <w:bCs/>
                <w:color w:val="auto"/>
                <w:sz w:val="15"/>
                <w:szCs w:val="15"/>
              </w:rPr>
            </w:pPr>
            <w:r>
              <w:rPr>
                <w:bCs/>
                <w:color w:val="auto"/>
                <w:sz w:val="15"/>
                <w:szCs w:val="15"/>
              </w:rPr>
              <w:t>--</w:t>
            </w:r>
          </w:p>
        </w:tc>
        <w:tc>
          <w:tcPr>
            <w:tcW w:w="96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1970"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87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1071"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1060"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816" w:type="dxa"/>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pPr>
              <w:pStyle w:val="33"/>
              <w:rPr>
                <w:bCs/>
                <w:color w:val="auto"/>
                <w:sz w:val="15"/>
                <w:szCs w:val="15"/>
              </w:rPr>
            </w:pPr>
            <w:r>
              <w:rPr>
                <w:bCs/>
                <w:color w:val="auto"/>
                <w:sz w:val="15"/>
                <w:szCs w:val="15"/>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exact"/>
          <w:jc w:val="center"/>
        </w:trPr>
        <w:tc>
          <w:tcPr>
            <w:tcW w:w="522" w:type="dxa"/>
            <w:gridSpan w:val="2"/>
            <w:vMerge w:val="continue"/>
            <w:tcBorders>
              <w:top w:val="single" w:color="auto" w:sz="4" w:space="0"/>
              <w:left w:val="single" w:color="auto" w:sz="8" w:space="0"/>
              <w:bottom w:val="single" w:color="auto" w:sz="8" w:space="0"/>
              <w:right w:val="single" w:color="auto" w:sz="4" w:space="0"/>
            </w:tcBorders>
            <w:vAlign w:val="center"/>
          </w:tcPr>
          <w:p>
            <w:pPr>
              <w:widowControl/>
              <w:spacing w:line="180" w:lineRule="exact"/>
              <w:ind w:firstLine="0" w:firstLineChars="0"/>
              <w:rPr>
                <w:rFonts w:eastAsia="黑体"/>
                <w:b/>
                <w:color w:val="auto"/>
                <w:spacing w:val="20"/>
                <w:sz w:val="15"/>
                <w:szCs w:val="15"/>
              </w:rPr>
            </w:pPr>
          </w:p>
        </w:tc>
        <w:tc>
          <w:tcPr>
            <w:tcW w:w="1784"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color w:val="auto"/>
                <w:sz w:val="15"/>
                <w:szCs w:val="15"/>
              </w:rPr>
            </w:pPr>
            <w:r>
              <w:rPr>
                <w:rFonts w:hint="eastAsia"/>
                <w:b/>
                <w:color w:val="auto"/>
                <w:sz w:val="15"/>
                <w:szCs w:val="15"/>
              </w:rPr>
              <w:t>氨氮</w:t>
            </w:r>
          </w:p>
        </w:tc>
        <w:tc>
          <w:tcPr>
            <w:tcW w:w="78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1330"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pPr>
              <w:spacing w:line="180" w:lineRule="exact"/>
              <w:ind w:firstLine="0" w:firstLineChars="0"/>
              <w:jc w:val="center"/>
              <w:rPr>
                <w:bCs/>
                <w:color w:val="auto"/>
                <w:sz w:val="15"/>
                <w:szCs w:val="15"/>
              </w:rPr>
            </w:pPr>
            <w:r>
              <w:rPr>
                <w:bCs/>
                <w:color w:val="auto"/>
                <w:sz w:val="15"/>
                <w:szCs w:val="15"/>
              </w:rPr>
              <w:t>--</w:t>
            </w:r>
          </w:p>
        </w:tc>
        <w:tc>
          <w:tcPr>
            <w:tcW w:w="105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tcPr>
          <w:p>
            <w:pPr>
              <w:spacing w:line="180" w:lineRule="exact"/>
              <w:ind w:firstLine="0" w:firstLineChars="0"/>
              <w:jc w:val="center"/>
              <w:rPr>
                <w:bCs/>
                <w:color w:val="auto"/>
                <w:sz w:val="15"/>
                <w:szCs w:val="15"/>
              </w:rPr>
            </w:pPr>
            <w:r>
              <w:rPr>
                <w:bCs/>
                <w:color w:val="auto"/>
                <w:sz w:val="15"/>
                <w:szCs w:val="15"/>
              </w:rPr>
              <w:t>--</w:t>
            </w:r>
          </w:p>
        </w:tc>
        <w:tc>
          <w:tcPr>
            <w:tcW w:w="87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rFonts w:cs="Calibri"/>
                <w:bCs/>
                <w:color w:val="auto"/>
                <w:sz w:val="15"/>
                <w:szCs w:val="15"/>
              </w:rPr>
            </w:pPr>
            <w:r>
              <w:rPr>
                <w:bCs/>
                <w:color w:val="auto"/>
                <w:sz w:val="15"/>
                <w:szCs w:val="15"/>
              </w:rPr>
              <w:t>--</w:t>
            </w:r>
          </w:p>
        </w:tc>
        <w:tc>
          <w:tcPr>
            <w:tcW w:w="984"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rFonts w:cs="Calibri"/>
                <w:bCs/>
                <w:color w:val="auto"/>
                <w:sz w:val="15"/>
                <w:szCs w:val="15"/>
              </w:rPr>
            </w:pPr>
            <w:r>
              <w:rPr>
                <w:bCs/>
                <w:color w:val="auto"/>
                <w:sz w:val="15"/>
                <w:szCs w:val="15"/>
              </w:rPr>
              <w:t>--</w:t>
            </w:r>
          </w:p>
        </w:tc>
        <w:tc>
          <w:tcPr>
            <w:tcW w:w="140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rFonts w:cs="Calibri"/>
                <w:bCs/>
                <w:color w:val="auto"/>
                <w:sz w:val="15"/>
                <w:szCs w:val="15"/>
              </w:rPr>
            </w:pPr>
            <w:r>
              <w:rPr>
                <w:bCs/>
                <w:color w:val="auto"/>
                <w:sz w:val="15"/>
                <w:szCs w:val="15"/>
              </w:rPr>
              <w:t>--</w:t>
            </w:r>
          </w:p>
        </w:tc>
        <w:tc>
          <w:tcPr>
            <w:tcW w:w="96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1970"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87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1071"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1060"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816" w:type="dxa"/>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pPr>
              <w:pStyle w:val="33"/>
              <w:rPr>
                <w:bCs/>
                <w:color w:val="auto"/>
                <w:sz w:val="15"/>
                <w:szCs w:val="15"/>
              </w:rPr>
            </w:pPr>
            <w:r>
              <w:rPr>
                <w:bCs/>
                <w:color w:val="auto"/>
                <w:sz w:val="15"/>
                <w:szCs w:val="15"/>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exact"/>
          <w:jc w:val="center"/>
        </w:trPr>
        <w:tc>
          <w:tcPr>
            <w:tcW w:w="522" w:type="dxa"/>
            <w:gridSpan w:val="2"/>
            <w:vMerge w:val="continue"/>
            <w:tcBorders>
              <w:top w:val="single" w:color="auto" w:sz="4" w:space="0"/>
              <w:left w:val="single" w:color="auto" w:sz="8" w:space="0"/>
              <w:bottom w:val="single" w:color="auto" w:sz="8" w:space="0"/>
              <w:right w:val="single" w:color="auto" w:sz="4" w:space="0"/>
            </w:tcBorders>
            <w:vAlign w:val="center"/>
          </w:tcPr>
          <w:p>
            <w:pPr>
              <w:widowControl/>
              <w:spacing w:line="180" w:lineRule="exact"/>
              <w:ind w:firstLine="0" w:firstLineChars="0"/>
              <w:rPr>
                <w:rFonts w:eastAsia="黑体"/>
                <w:b/>
                <w:color w:val="auto"/>
                <w:spacing w:val="20"/>
                <w:sz w:val="15"/>
                <w:szCs w:val="15"/>
              </w:rPr>
            </w:pPr>
          </w:p>
        </w:tc>
        <w:tc>
          <w:tcPr>
            <w:tcW w:w="1784"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color w:val="auto"/>
                <w:sz w:val="15"/>
                <w:szCs w:val="15"/>
              </w:rPr>
            </w:pPr>
            <w:r>
              <w:rPr>
                <w:rFonts w:hint="eastAsia"/>
                <w:b/>
                <w:color w:val="auto"/>
                <w:sz w:val="15"/>
                <w:szCs w:val="15"/>
              </w:rPr>
              <w:t>总氮</w:t>
            </w:r>
          </w:p>
        </w:tc>
        <w:tc>
          <w:tcPr>
            <w:tcW w:w="78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1330"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105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87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rFonts w:cs="Calibri"/>
                <w:bCs/>
                <w:color w:val="auto"/>
                <w:sz w:val="15"/>
                <w:szCs w:val="15"/>
              </w:rPr>
            </w:pPr>
            <w:r>
              <w:rPr>
                <w:bCs/>
                <w:color w:val="auto"/>
                <w:sz w:val="15"/>
                <w:szCs w:val="15"/>
              </w:rPr>
              <w:t>--</w:t>
            </w:r>
          </w:p>
        </w:tc>
        <w:tc>
          <w:tcPr>
            <w:tcW w:w="984"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rFonts w:cs="Calibri"/>
                <w:bCs/>
                <w:color w:val="auto"/>
                <w:sz w:val="15"/>
                <w:szCs w:val="15"/>
              </w:rPr>
            </w:pPr>
            <w:r>
              <w:rPr>
                <w:bCs/>
                <w:color w:val="auto"/>
                <w:sz w:val="15"/>
                <w:szCs w:val="15"/>
              </w:rPr>
              <w:t>--</w:t>
            </w:r>
          </w:p>
        </w:tc>
        <w:tc>
          <w:tcPr>
            <w:tcW w:w="140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rFonts w:cs="Calibri"/>
                <w:bCs/>
                <w:color w:val="auto"/>
                <w:sz w:val="15"/>
                <w:szCs w:val="15"/>
              </w:rPr>
            </w:pPr>
            <w:r>
              <w:rPr>
                <w:bCs/>
                <w:color w:val="auto"/>
                <w:sz w:val="15"/>
                <w:szCs w:val="15"/>
              </w:rPr>
              <w:t>--</w:t>
            </w:r>
          </w:p>
        </w:tc>
        <w:tc>
          <w:tcPr>
            <w:tcW w:w="96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1970"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87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1071"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1060"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816" w:type="dxa"/>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pPr>
              <w:pStyle w:val="33"/>
              <w:rPr>
                <w:color w:val="auto"/>
                <w:sz w:val="15"/>
                <w:szCs w:val="15"/>
              </w:rPr>
            </w:pPr>
            <w:r>
              <w:rPr>
                <w:bCs/>
                <w:color w:val="auto"/>
                <w:sz w:val="15"/>
                <w:szCs w:val="15"/>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exact"/>
          <w:jc w:val="center"/>
        </w:trPr>
        <w:tc>
          <w:tcPr>
            <w:tcW w:w="522" w:type="dxa"/>
            <w:gridSpan w:val="2"/>
            <w:vMerge w:val="continue"/>
            <w:tcBorders>
              <w:top w:val="single" w:color="auto" w:sz="4" w:space="0"/>
              <w:left w:val="single" w:color="auto" w:sz="8" w:space="0"/>
              <w:bottom w:val="single" w:color="auto" w:sz="8" w:space="0"/>
              <w:right w:val="single" w:color="auto" w:sz="4" w:space="0"/>
            </w:tcBorders>
            <w:vAlign w:val="center"/>
          </w:tcPr>
          <w:p>
            <w:pPr>
              <w:widowControl/>
              <w:spacing w:line="180" w:lineRule="exact"/>
              <w:ind w:firstLine="0" w:firstLineChars="0"/>
              <w:rPr>
                <w:rFonts w:eastAsia="黑体"/>
                <w:b/>
                <w:color w:val="auto"/>
                <w:spacing w:val="20"/>
                <w:sz w:val="15"/>
                <w:szCs w:val="15"/>
              </w:rPr>
            </w:pPr>
          </w:p>
        </w:tc>
        <w:tc>
          <w:tcPr>
            <w:tcW w:w="1784"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rFonts w:eastAsia="黑体"/>
                <w:b/>
                <w:color w:val="auto"/>
                <w:sz w:val="15"/>
                <w:szCs w:val="15"/>
              </w:rPr>
            </w:pPr>
            <w:r>
              <w:rPr>
                <w:rFonts w:hint="eastAsia"/>
                <w:b/>
                <w:color w:val="auto"/>
                <w:sz w:val="15"/>
                <w:szCs w:val="15"/>
              </w:rPr>
              <w:t>废气</w:t>
            </w:r>
          </w:p>
        </w:tc>
        <w:tc>
          <w:tcPr>
            <w:tcW w:w="78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1330"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105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87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984"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140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96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1970"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87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1071"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1060"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816" w:type="dxa"/>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pPr>
              <w:spacing w:line="180" w:lineRule="exact"/>
              <w:ind w:firstLine="0" w:firstLineChars="0"/>
              <w:jc w:val="center"/>
              <w:rPr>
                <w:color w:val="auto"/>
                <w:sz w:val="15"/>
                <w:szCs w:val="15"/>
              </w:rPr>
            </w:pPr>
            <w:r>
              <w:rPr>
                <w:bCs/>
                <w:color w:val="auto"/>
                <w:sz w:val="15"/>
                <w:szCs w:val="15"/>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exact"/>
          <w:jc w:val="center"/>
        </w:trPr>
        <w:tc>
          <w:tcPr>
            <w:tcW w:w="522" w:type="dxa"/>
            <w:gridSpan w:val="2"/>
            <w:vMerge w:val="continue"/>
            <w:tcBorders>
              <w:top w:val="single" w:color="auto" w:sz="4" w:space="0"/>
              <w:left w:val="single" w:color="auto" w:sz="8" w:space="0"/>
              <w:bottom w:val="single" w:color="auto" w:sz="8" w:space="0"/>
              <w:right w:val="single" w:color="auto" w:sz="4" w:space="0"/>
            </w:tcBorders>
            <w:vAlign w:val="center"/>
          </w:tcPr>
          <w:p>
            <w:pPr>
              <w:widowControl/>
              <w:spacing w:line="180" w:lineRule="exact"/>
              <w:ind w:firstLine="0" w:firstLineChars="0"/>
              <w:rPr>
                <w:rFonts w:eastAsia="黑体"/>
                <w:b/>
                <w:color w:val="auto"/>
                <w:spacing w:val="20"/>
                <w:sz w:val="15"/>
                <w:szCs w:val="15"/>
              </w:rPr>
            </w:pPr>
          </w:p>
        </w:tc>
        <w:tc>
          <w:tcPr>
            <w:tcW w:w="1784"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color w:val="auto"/>
                <w:sz w:val="15"/>
                <w:szCs w:val="15"/>
              </w:rPr>
            </w:pPr>
            <w:r>
              <w:rPr>
                <w:rFonts w:hint="eastAsia"/>
                <w:b/>
                <w:color w:val="auto"/>
                <w:sz w:val="15"/>
                <w:szCs w:val="15"/>
              </w:rPr>
              <w:t>二氧化硫</w:t>
            </w:r>
          </w:p>
        </w:tc>
        <w:tc>
          <w:tcPr>
            <w:tcW w:w="78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1330"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105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87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984"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140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96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1970"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87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1071"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1060"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816" w:type="dxa"/>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pPr>
              <w:spacing w:line="180" w:lineRule="exact"/>
              <w:ind w:firstLine="0" w:firstLineChars="0"/>
              <w:jc w:val="center"/>
              <w:rPr>
                <w:color w:val="auto"/>
                <w:sz w:val="15"/>
                <w:szCs w:val="15"/>
              </w:rPr>
            </w:pPr>
            <w:r>
              <w:rPr>
                <w:bCs/>
                <w:color w:val="auto"/>
                <w:sz w:val="15"/>
                <w:szCs w:val="15"/>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exact"/>
          <w:jc w:val="center"/>
        </w:trPr>
        <w:tc>
          <w:tcPr>
            <w:tcW w:w="522" w:type="dxa"/>
            <w:gridSpan w:val="2"/>
            <w:vMerge w:val="continue"/>
            <w:tcBorders>
              <w:top w:val="single" w:color="auto" w:sz="4" w:space="0"/>
              <w:left w:val="single" w:color="auto" w:sz="8" w:space="0"/>
              <w:bottom w:val="single" w:color="auto" w:sz="8" w:space="0"/>
              <w:right w:val="single" w:color="auto" w:sz="4" w:space="0"/>
            </w:tcBorders>
            <w:vAlign w:val="center"/>
          </w:tcPr>
          <w:p>
            <w:pPr>
              <w:widowControl/>
              <w:spacing w:line="180" w:lineRule="exact"/>
              <w:ind w:firstLine="0" w:firstLineChars="0"/>
              <w:rPr>
                <w:rFonts w:eastAsia="黑体"/>
                <w:b/>
                <w:color w:val="auto"/>
                <w:spacing w:val="20"/>
                <w:sz w:val="15"/>
                <w:szCs w:val="15"/>
              </w:rPr>
            </w:pPr>
          </w:p>
        </w:tc>
        <w:tc>
          <w:tcPr>
            <w:tcW w:w="1784"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color w:val="auto"/>
                <w:sz w:val="15"/>
                <w:szCs w:val="15"/>
              </w:rPr>
            </w:pPr>
            <w:r>
              <w:rPr>
                <w:rFonts w:hint="eastAsia"/>
                <w:b/>
                <w:color w:val="auto"/>
                <w:sz w:val="15"/>
                <w:szCs w:val="15"/>
              </w:rPr>
              <w:t>烟尘</w:t>
            </w:r>
          </w:p>
        </w:tc>
        <w:tc>
          <w:tcPr>
            <w:tcW w:w="78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1330"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105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87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984"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140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96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1970"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87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1071"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1060"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816" w:type="dxa"/>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pPr>
              <w:spacing w:line="180" w:lineRule="exact"/>
              <w:ind w:firstLine="0" w:firstLineChars="0"/>
              <w:jc w:val="center"/>
              <w:rPr>
                <w:color w:val="auto"/>
                <w:sz w:val="15"/>
                <w:szCs w:val="15"/>
              </w:rPr>
            </w:pPr>
            <w:r>
              <w:rPr>
                <w:bCs/>
                <w:color w:val="auto"/>
                <w:sz w:val="15"/>
                <w:szCs w:val="15"/>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exact"/>
          <w:jc w:val="center"/>
        </w:trPr>
        <w:tc>
          <w:tcPr>
            <w:tcW w:w="522" w:type="dxa"/>
            <w:gridSpan w:val="2"/>
            <w:vMerge w:val="continue"/>
            <w:tcBorders>
              <w:top w:val="single" w:color="auto" w:sz="4" w:space="0"/>
              <w:left w:val="single" w:color="auto" w:sz="8" w:space="0"/>
              <w:bottom w:val="single" w:color="auto" w:sz="8" w:space="0"/>
              <w:right w:val="single" w:color="auto" w:sz="4" w:space="0"/>
            </w:tcBorders>
            <w:vAlign w:val="center"/>
          </w:tcPr>
          <w:p>
            <w:pPr>
              <w:widowControl/>
              <w:spacing w:line="180" w:lineRule="exact"/>
              <w:ind w:firstLine="0" w:firstLineChars="0"/>
              <w:rPr>
                <w:rFonts w:eastAsia="黑体"/>
                <w:b/>
                <w:color w:val="auto"/>
                <w:spacing w:val="20"/>
                <w:sz w:val="15"/>
                <w:szCs w:val="15"/>
              </w:rPr>
            </w:pPr>
          </w:p>
        </w:tc>
        <w:tc>
          <w:tcPr>
            <w:tcW w:w="1784"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color w:val="auto"/>
                <w:sz w:val="15"/>
                <w:szCs w:val="15"/>
              </w:rPr>
            </w:pPr>
            <w:r>
              <w:rPr>
                <w:rFonts w:hint="eastAsia"/>
                <w:b/>
                <w:color w:val="auto"/>
                <w:sz w:val="15"/>
                <w:szCs w:val="15"/>
              </w:rPr>
              <w:t>工业粉尘</w:t>
            </w:r>
          </w:p>
        </w:tc>
        <w:tc>
          <w:tcPr>
            <w:tcW w:w="78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1330"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105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87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984"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140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96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1970"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87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1071"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1060"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816" w:type="dxa"/>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pPr>
              <w:spacing w:line="180" w:lineRule="exact"/>
              <w:ind w:firstLine="0" w:firstLineChars="0"/>
              <w:jc w:val="center"/>
              <w:rPr>
                <w:color w:val="auto"/>
                <w:sz w:val="15"/>
                <w:szCs w:val="15"/>
              </w:rPr>
            </w:pPr>
            <w:r>
              <w:rPr>
                <w:bCs/>
                <w:color w:val="auto"/>
                <w:sz w:val="15"/>
                <w:szCs w:val="15"/>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exact"/>
          <w:jc w:val="center"/>
        </w:trPr>
        <w:tc>
          <w:tcPr>
            <w:tcW w:w="522" w:type="dxa"/>
            <w:gridSpan w:val="2"/>
            <w:vMerge w:val="continue"/>
            <w:tcBorders>
              <w:top w:val="single" w:color="auto" w:sz="4" w:space="0"/>
              <w:left w:val="single" w:color="auto" w:sz="8" w:space="0"/>
              <w:bottom w:val="single" w:color="auto" w:sz="8" w:space="0"/>
              <w:right w:val="single" w:color="auto" w:sz="4" w:space="0"/>
            </w:tcBorders>
            <w:vAlign w:val="center"/>
          </w:tcPr>
          <w:p>
            <w:pPr>
              <w:widowControl/>
              <w:spacing w:line="180" w:lineRule="exact"/>
              <w:ind w:firstLine="0" w:firstLineChars="0"/>
              <w:rPr>
                <w:rFonts w:eastAsia="黑体"/>
                <w:b/>
                <w:color w:val="auto"/>
                <w:spacing w:val="20"/>
                <w:sz w:val="15"/>
                <w:szCs w:val="15"/>
              </w:rPr>
            </w:pPr>
          </w:p>
        </w:tc>
        <w:tc>
          <w:tcPr>
            <w:tcW w:w="1784"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b/>
                <w:color w:val="auto"/>
                <w:sz w:val="15"/>
                <w:szCs w:val="15"/>
              </w:rPr>
            </w:pPr>
            <w:r>
              <w:rPr>
                <w:rFonts w:hint="eastAsia"/>
                <w:b/>
                <w:color w:val="auto"/>
                <w:sz w:val="15"/>
                <w:szCs w:val="15"/>
              </w:rPr>
              <w:t>氮氧化物</w:t>
            </w:r>
          </w:p>
        </w:tc>
        <w:tc>
          <w:tcPr>
            <w:tcW w:w="78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bookmarkStart w:id="133" w:name="OLE_LINK40"/>
            <w:r>
              <w:rPr>
                <w:bCs/>
                <w:color w:val="auto"/>
                <w:sz w:val="15"/>
                <w:szCs w:val="15"/>
              </w:rPr>
              <w:t>--</w:t>
            </w:r>
            <w:bookmarkEnd w:id="133"/>
          </w:p>
        </w:tc>
        <w:tc>
          <w:tcPr>
            <w:tcW w:w="1330"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105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rFonts w:hint="eastAsia"/>
                <w:bCs/>
                <w:color w:val="auto"/>
                <w:sz w:val="15"/>
                <w:szCs w:val="15"/>
              </w:rPr>
            </w:pPr>
            <w:r>
              <w:rPr>
                <w:rFonts w:hint="eastAsia"/>
                <w:bCs/>
                <w:color w:val="auto"/>
                <w:sz w:val="15"/>
                <w:szCs w:val="15"/>
              </w:rPr>
              <w:t>300</w:t>
            </w:r>
          </w:p>
        </w:tc>
        <w:tc>
          <w:tcPr>
            <w:tcW w:w="87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984"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rFonts w:hint="eastAsia"/>
                <w:bCs/>
                <w:color w:val="auto"/>
                <w:sz w:val="15"/>
                <w:szCs w:val="15"/>
              </w:rPr>
              <w:t>--</w:t>
            </w:r>
          </w:p>
        </w:tc>
        <w:tc>
          <w:tcPr>
            <w:tcW w:w="140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rFonts w:hint="eastAsia"/>
                <w:bCs/>
                <w:color w:val="auto"/>
                <w:sz w:val="15"/>
                <w:szCs w:val="15"/>
              </w:rPr>
              <w:t>--</w:t>
            </w:r>
          </w:p>
        </w:tc>
        <w:tc>
          <w:tcPr>
            <w:tcW w:w="96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rFonts w:hint="eastAsia"/>
                <w:bCs/>
                <w:color w:val="auto"/>
                <w:sz w:val="15"/>
                <w:szCs w:val="15"/>
              </w:rPr>
              <w:t>--</w:t>
            </w:r>
          </w:p>
        </w:tc>
        <w:tc>
          <w:tcPr>
            <w:tcW w:w="1970"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87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rFonts w:hint="eastAsia"/>
                <w:bCs/>
                <w:color w:val="auto"/>
                <w:sz w:val="15"/>
                <w:szCs w:val="15"/>
              </w:rPr>
              <w:t>--</w:t>
            </w:r>
          </w:p>
        </w:tc>
        <w:tc>
          <w:tcPr>
            <w:tcW w:w="1071"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1060"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816" w:type="dxa"/>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pPr>
              <w:spacing w:line="180" w:lineRule="exact"/>
              <w:ind w:firstLine="0" w:firstLineChars="0"/>
              <w:jc w:val="center"/>
              <w:rPr>
                <w:color w:val="auto"/>
                <w:sz w:val="15"/>
                <w:szCs w:val="15"/>
              </w:rPr>
            </w:pPr>
            <w:r>
              <w:rPr>
                <w:rFonts w:hint="eastAsia"/>
                <w:bCs/>
                <w:color w:val="auto"/>
                <w:sz w:val="15"/>
                <w:szCs w:val="15"/>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exact"/>
          <w:jc w:val="center"/>
        </w:trPr>
        <w:tc>
          <w:tcPr>
            <w:tcW w:w="522" w:type="dxa"/>
            <w:gridSpan w:val="2"/>
            <w:vMerge w:val="continue"/>
            <w:tcBorders>
              <w:top w:val="single" w:color="auto" w:sz="4" w:space="0"/>
              <w:left w:val="single" w:color="auto" w:sz="8" w:space="0"/>
              <w:bottom w:val="single" w:color="auto" w:sz="8" w:space="0"/>
              <w:right w:val="single" w:color="auto" w:sz="4" w:space="0"/>
            </w:tcBorders>
            <w:vAlign w:val="center"/>
          </w:tcPr>
          <w:p>
            <w:pPr>
              <w:widowControl/>
              <w:spacing w:line="180" w:lineRule="exact"/>
              <w:ind w:firstLine="0" w:firstLineChars="0"/>
              <w:rPr>
                <w:rFonts w:eastAsia="黑体"/>
                <w:b/>
                <w:color w:val="auto"/>
                <w:spacing w:val="20"/>
                <w:sz w:val="15"/>
                <w:szCs w:val="15"/>
              </w:rPr>
            </w:pPr>
          </w:p>
        </w:tc>
        <w:tc>
          <w:tcPr>
            <w:tcW w:w="1784"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rPr>
                <w:rFonts w:eastAsia="黑体"/>
                <w:b/>
                <w:color w:val="auto"/>
                <w:sz w:val="15"/>
                <w:szCs w:val="15"/>
              </w:rPr>
            </w:pPr>
            <w:r>
              <w:rPr>
                <w:rFonts w:hint="eastAsia"/>
                <w:b/>
                <w:color w:val="auto"/>
                <w:sz w:val="15"/>
                <w:szCs w:val="15"/>
              </w:rPr>
              <w:t>工业固体废物</w:t>
            </w:r>
          </w:p>
        </w:tc>
        <w:tc>
          <w:tcPr>
            <w:tcW w:w="78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1330"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105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87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984"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140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96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1970"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87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1071"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1060"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bCs/>
                <w:color w:val="auto"/>
                <w:sz w:val="15"/>
                <w:szCs w:val="15"/>
              </w:rPr>
            </w:pPr>
            <w:r>
              <w:rPr>
                <w:bCs/>
                <w:color w:val="auto"/>
                <w:sz w:val="15"/>
                <w:szCs w:val="15"/>
              </w:rPr>
              <w:t>--</w:t>
            </w:r>
          </w:p>
        </w:tc>
        <w:tc>
          <w:tcPr>
            <w:tcW w:w="816" w:type="dxa"/>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pPr>
              <w:spacing w:line="180" w:lineRule="exact"/>
              <w:ind w:firstLine="0" w:firstLineChars="0"/>
              <w:jc w:val="center"/>
              <w:rPr>
                <w:color w:val="auto"/>
                <w:sz w:val="15"/>
                <w:szCs w:val="15"/>
              </w:rPr>
            </w:pPr>
            <w:r>
              <w:rPr>
                <w:bCs/>
                <w:color w:val="auto"/>
                <w:sz w:val="15"/>
                <w:szCs w:val="15"/>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469" w:hRule="exact"/>
          <w:jc w:val="center"/>
        </w:trPr>
        <w:tc>
          <w:tcPr>
            <w:tcW w:w="522" w:type="dxa"/>
            <w:gridSpan w:val="2"/>
            <w:vMerge w:val="continue"/>
            <w:tcBorders>
              <w:top w:val="single" w:color="auto" w:sz="4" w:space="0"/>
              <w:left w:val="single" w:color="auto" w:sz="8" w:space="0"/>
              <w:bottom w:val="single" w:color="auto" w:sz="8" w:space="0"/>
              <w:right w:val="single" w:color="auto" w:sz="4" w:space="0"/>
            </w:tcBorders>
            <w:vAlign w:val="center"/>
          </w:tcPr>
          <w:p>
            <w:pPr>
              <w:widowControl/>
              <w:spacing w:line="180" w:lineRule="exact"/>
              <w:ind w:firstLine="0" w:firstLineChars="0"/>
              <w:rPr>
                <w:rFonts w:eastAsia="黑体"/>
                <w:b/>
                <w:color w:val="auto"/>
                <w:spacing w:val="20"/>
                <w:sz w:val="15"/>
                <w:szCs w:val="15"/>
              </w:rPr>
            </w:pPr>
          </w:p>
        </w:tc>
        <w:tc>
          <w:tcPr>
            <w:tcW w:w="1058" w:type="dxa"/>
            <w:vMerge w:val="restart"/>
            <w:tcBorders>
              <w:top w:val="single" w:color="auto" w:sz="4" w:space="0"/>
              <w:left w:val="single" w:color="auto" w:sz="4" w:space="0"/>
              <w:bottom w:val="single" w:color="auto" w:sz="8" w:space="0"/>
              <w:right w:val="single" w:color="auto" w:sz="4" w:space="0"/>
            </w:tcBorders>
            <w:tcMar>
              <w:top w:w="0" w:type="dxa"/>
              <w:left w:w="57" w:type="dxa"/>
              <w:bottom w:w="0" w:type="dxa"/>
              <w:right w:w="57" w:type="dxa"/>
            </w:tcMar>
            <w:vAlign w:val="center"/>
          </w:tcPr>
          <w:p>
            <w:pPr>
              <w:spacing w:line="180" w:lineRule="exact"/>
              <w:ind w:firstLine="0" w:firstLineChars="0"/>
              <w:rPr>
                <w:color w:val="auto"/>
                <w:sz w:val="15"/>
                <w:szCs w:val="15"/>
              </w:rPr>
            </w:pPr>
            <w:r>
              <w:rPr>
                <w:rFonts w:hint="eastAsia"/>
                <w:b/>
                <w:color w:val="auto"/>
                <w:sz w:val="15"/>
                <w:szCs w:val="15"/>
              </w:rPr>
              <w:t>与项目有关的其他特征污染物</w:t>
            </w:r>
          </w:p>
        </w:tc>
        <w:tc>
          <w:tcPr>
            <w:tcW w:w="726"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color w:val="auto"/>
                <w:sz w:val="15"/>
                <w:szCs w:val="15"/>
              </w:rPr>
            </w:pPr>
            <w:r>
              <w:rPr>
                <w:rFonts w:hint="eastAsia"/>
                <w:color w:val="auto"/>
                <w:sz w:val="15"/>
                <w:szCs w:val="15"/>
              </w:rPr>
              <w:t>挥发性有机物</w:t>
            </w:r>
          </w:p>
        </w:tc>
        <w:tc>
          <w:tcPr>
            <w:tcW w:w="78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color w:val="auto"/>
                <w:sz w:val="15"/>
                <w:szCs w:val="15"/>
              </w:rPr>
            </w:pPr>
            <w:r>
              <w:rPr>
                <w:bCs/>
                <w:color w:val="auto"/>
                <w:sz w:val="15"/>
                <w:szCs w:val="15"/>
              </w:rPr>
              <w:t>--</w:t>
            </w:r>
          </w:p>
        </w:tc>
        <w:tc>
          <w:tcPr>
            <w:tcW w:w="1330"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rFonts w:hint="eastAsia"/>
                <w:color w:val="auto"/>
                <w:sz w:val="15"/>
                <w:szCs w:val="15"/>
              </w:rPr>
            </w:pPr>
            <w:r>
              <w:rPr>
                <w:rFonts w:hint="eastAsia"/>
                <w:bCs/>
                <w:color w:val="auto"/>
                <w:sz w:val="15"/>
                <w:szCs w:val="15"/>
              </w:rPr>
              <w:t>1.51</w:t>
            </w:r>
          </w:p>
        </w:tc>
        <w:tc>
          <w:tcPr>
            <w:tcW w:w="105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rFonts w:hint="eastAsia"/>
                <w:color w:val="auto"/>
                <w:sz w:val="15"/>
                <w:szCs w:val="15"/>
              </w:rPr>
            </w:pPr>
            <w:r>
              <w:rPr>
                <w:rFonts w:hint="eastAsia"/>
                <w:bCs/>
                <w:color w:val="auto"/>
                <w:sz w:val="15"/>
                <w:szCs w:val="15"/>
              </w:rPr>
              <w:t>100</w:t>
            </w:r>
          </w:p>
        </w:tc>
        <w:tc>
          <w:tcPr>
            <w:tcW w:w="87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color w:val="auto"/>
                <w:sz w:val="15"/>
                <w:szCs w:val="15"/>
              </w:rPr>
            </w:pPr>
            <w:r>
              <w:rPr>
                <w:bCs/>
                <w:color w:val="auto"/>
                <w:sz w:val="15"/>
                <w:szCs w:val="15"/>
              </w:rPr>
              <w:t>--</w:t>
            </w:r>
          </w:p>
        </w:tc>
        <w:tc>
          <w:tcPr>
            <w:tcW w:w="984"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color w:val="auto"/>
                <w:sz w:val="15"/>
                <w:szCs w:val="15"/>
              </w:rPr>
            </w:pPr>
            <w:r>
              <w:rPr>
                <w:rFonts w:hint="eastAsia"/>
                <w:bCs/>
                <w:color w:val="auto"/>
                <w:sz w:val="15"/>
                <w:szCs w:val="15"/>
              </w:rPr>
              <w:t>--</w:t>
            </w:r>
          </w:p>
        </w:tc>
        <w:tc>
          <w:tcPr>
            <w:tcW w:w="140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color w:val="auto"/>
                <w:sz w:val="15"/>
                <w:szCs w:val="15"/>
              </w:rPr>
            </w:pPr>
            <w:r>
              <w:rPr>
                <w:rFonts w:hint="eastAsia"/>
                <w:bCs/>
                <w:color w:val="auto"/>
                <w:sz w:val="15"/>
                <w:szCs w:val="15"/>
              </w:rPr>
              <w:t>0.2376</w:t>
            </w:r>
          </w:p>
        </w:tc>
        <w:tc>
          <w:tcPr>
            <w:tcW w:w="96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color w:val="auto"/>
                <w:sz w:val="15"/>
                <w:szCs w:val="15"/>
              </w:rPr>
            </w:pPr>
            <w:r>
              <w:rPr>
                <w:rFonts w:hint="eastAsia"/>
                <w:bCs/>
                <w:color w:val="auto"/>
                <w:sz w:val="15"/>
                <w:szCs w:val="15"/>
              </w:rPr>
              <w:t>--</w:t>
            </w:r>
          </w:p>
        </w:tc>
        <w:tc>
          <w:tcPr>
            <w:tcW w:w="1970"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color w:val="auto"/>
                <w:sz w:val="15"/>
                <w:szCs w:val="15"/>
              </w:rPr>
            </w:pPr>
            <w:r>
              <w:rPr>
                <w:bCs/>
                <w:color w:val="auto"/>
                <w:sz w:val="15"/>
                <w:szCs w:val="15"/>
              </w:rPr>
              <w:t>--</w:t>
            </w:r>
          </w:p>
        </w:tc>
        <w:tc>
          <w:tcPr>
            <w:tcW w:w="87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color w:val="auto"/>
                <w:sz w:val="15"/>
                <w:szCs w:val="15"/>
              </w:rPr>
            </w:pPr>
            <w:r>
              <w:rPr>
                <w:rFonts w:hint="eastAsia"/>
                <w:bCs/>
                <w:color w:val="auto"/>
                <w:sz w:val="15"/>
                <w:szCs w:val="15"/>
              </w:rPr>
              <w:t>--</w:t>
            </w:r>
          </w:p>
        </w:tc>
        <w:tc>
          <w:tcPr>
            <w:tcW w:w="1071"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color w:val="auto"/>
                <w:sz w:val="15"/>
                <w:szCs w:val="15"/>
              </w:rPr>
            </w:pPr>
            <w:r>
              <w:rPr>
                <w:rFonts w:hint="eastAsia"/>
                <w:bCs/>
                <w:color w:val="auto"/>
                <w:sz w:val="15"/>
                <w:szCs w:val="15"/>
              </w:rPr>
              <w:t>--</w:t>
            </w:r>
          </w:p>
        </w:tc>
        <w:tc>
          <w:tcPr>
            <w:tcW w:w="1060"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color w:val="auto"/>
                <w:sz w:val="15"/>
                <w:szCs w:val="15"/>
              </w:rPr>
            </w:pPr>
            <w:r>
              <w:rPr>
                <w:bCs/>
                <w:color w:val="auto"/>
                <w:sz w:val="15"/>
                <w:szCs w:val="15"/>
              </w:rPr>
              <w:t>--</w:t>
            </w:r>
          </w:p>
        </w:tc>
        <w:tc>
          <w:tcPr>
            <w:tcW w:w="816" w:type="dxa"/>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pPr>
              <w:spacing w:line="180" w:lineRule="exact"/>
              <w:ind w:firstLine="0" w:firstLineChars="0"/>
              <w:jc w:val="center"/>
              <w:rPr>
                <w:color w:val="auto"/>
                <w:sz w:val="15"/>
                <w:szCs w:val="15"/>
              </w:rPr>
            </w:pPr>
            <w:r>
              <w:rPr>
                <w:bCs/>
                <w:color w:val="auto"/>
                <w:sz w:val="15"/>
                <w:szCs w:val="15"/>
              </w:rPr>
              <w:t>+</w:t>
            </w:r>
            <w:r>
              <w:rPr>
                <w:rFonts w:hint="eastAsia"/>
                <w:bCs/>
                <w:color w:val="auto"/>
                <w:sz w:val="15"/>
                <w:szCs w:val="15"/>
              </w:rPr>
              <w:t>0.2376</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Ex>
        <w:trPr>
          <w:cantSplit/>
          <w:trHeight w:val="284" w:hRule="exact"/>
          <w:jc w:val="center"/>
        </w:trPr>
        <w:tc>
          <w:tcPr>
            <w:tcW w:w="522" w:type="dxa"/>
            <w:gridSpan w:val="2"/>
            <w:vMerge w:val="continue"/>
            <w:tcBorders>
              <w:top w:val="single" w:color="auto" w:sz="4" w:space="0"/>
              <w:left w:val="single" w:color="auto" w:sz="8" w:space="0"/>
              <w:bottom w:val="single" w:color="auto" w:sz="8" w:space="0"/>
              <w:right w:val="single" w:color="auto" w:sz="4" w:space="0"/>
            </w:tcBorders>
            <w:vAlign w:val="center"/>
          </w:tcPr>
          <w:p>
            <w:pPr>
              <w:widowControl/>
              <w:spacing w:line="180" w:lineRule="exact"/>
              <w:ind w:firstLine="0" w:firstLineChars="0"/>
              <w:rPr>
                <w:rFonts w:eastAsia="黑体"/>
                <w:b/>
                <w:color w:val="auto"/>
                <w:spacing w:val="20"/>
                <w:sz w:val="15"/>
                <w:szCs w:val="15"/>
              </w:rPr>
            </w:pPr>
          </w:p>
        </w:tc>
        <w:tc>
          <w:tcPr>
            <w:tcW w:w="1058" w:type="dxa"/>
            <w:vMerge w:val="continue"/>
            <w:tcBorders>
              <w:top w:val="single" w:color="auto" w:sz="4" w:space="0"/>
              <w:left w:val="single" w:color="auto" w:sz="4" w:space="0"/>
              <w:bottom w:val="single" w:color="auto" w:sz="8" w:space="0"/>
              <w:right w:val="single" w:color="auto" w:sz="4" w:space="0"/>
            </w:tcBorders>
            <w:vAlign w:val="center"/>
          </w:tcPr>
          <w:p>
            <w:pPr>
              <w:widowControl/>
              <w:spacing w:line="180" w:lineRule="exact"/>
              <w:ind w:firstLine="0" w:firstLineChars="0"/>
              <w:rPr>
                <w:color w:val="auto"/>
                <w:sz w:val="15"/>
                <w:szCs w:val="15"/>
              </w:rPr>
            </w:pPr>
          </w:p>
        </w:tc>
        <w:tc>
          <w:tcPr>
            <w:tcW w:w="726"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color w:val="auto"/>
                <w:sz w:val="15"/>
                <w:szCs w:val="15"/>
              </w:rPr>
            </w:pPr>
            <w:r>
              <w:rPr>
                <w:bCs/>
                <w:color w:val="auto"/>
                <w:sz w:val="15"/>
                <w:szCs w:val="15"/>
              </w:rPr>
              <w:t>--</w:t>
            </w:r>
          </w:p>
        </w:tc>
        <w:tc>
          <w:tcPr>
            <w:tcW w:w="785"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color w:val="auto"/>
                <w:sz w:val="15"/>
                <w:szCs w:val="15"/>
              </w:rPr>
            </w:pPr>
            <w:r>
              <w:rPr>
                <w:bCs/>
                <w:color w:val="auto"/>
                <w:sz w:val="15"/>
                <w:szCs w:val="15"/>
              </w:rPr>
              <w:t>--</w:t>
            </w:r>
          </w:p>
        </w:tc>
        <w:tc>
          <w:tcPr>
            <w:tcW w:w="1330"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color w:val="auto"/>
                <w:sz w:val="15"/>
                <w:szCs w:val="15"/>
              </w:rPr>
            </w:pPr>
            <w:r>
              <w:rPr>
                <w:bCs/>
                <w:color w:val="auto"/>
                <w:sz w:val="15"/>
                <w:szCs w:val="15"/>
              </w:rPr>
              <w:t>--</w:t>
            </w:r>
          </w:p>
        </w:tc>
        <w:tc>
          <w:tcPr>
            <w:tcW w:w="105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color w:val="auto"/>
                <w:sz w:val="15"/>
                <w:szCs w:val="15"/>
              </w:rPr>
            </w:pPr>
            <w:r>
              <w:rPr>
                <w:bCs/>
                <w:color w:val="auto"/>
                <w:sz w:val="15"/>
                <w:szCs w:val="15"/>
              </w:rPr>
              <w:t>--</w:t>
            </w:r>
          </w:p>
        </w:tc>
        <w:tc>
          <w:tcPr>
            <w:tcW w:w="87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color w:val="auto"/>
                <w:sz w:val="15"/>
                <w:szCs w:val="15"/>
              </w:rPr>
            </w:pPr>
            <w:r>
              <w:rPr>
                <w:bCs/>
                <w:color w:val="auto"/>
                <w:sz w:val="15"/>
                <w:szCs w:val="15"/>
              </w:rPr>
              <w:t>--</w:t>
            </w:r>
          </w:p>
        </w:tc>
        <w:tc>
          <w:tcPr>
            <w:tcW w:w="984"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color w:val="auto"/>
                <w:sz w:val="15"/>
                <w:szCs w:val="15"/>
              </w:rPr>
            </w:pPr>
            <w:r>
              <w:rPr>
                <w:bCs/>
                <w:color w:val="auto"/>
                <w:sz w:val="15"/>
                <w:szCs w:val="15"/>
              </w:rPr>
              <w:t>--</w:t>
            </w:r>
          </w:p>
        </w:tc>
        <w:tc>
          <w:tcPr>
            <w:tcW w:w="140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color w:val="auto"/>
                <w:sz w:val="15"/>
                <w:szCs w:val="15"/>
              </w:rPr>
            </w:pPr>
            <w:r>
              <w:rPr>
                <w:bCs/>
                <w:color w:val="auto"/>
                <w:sz w:val="15"/>
                <w:szCs w:val="15"/>
              </w:rPr>
              <w:t>--</w:t>
            </w:r>
          </w:p>
        </w:tc>
        <w:tc>
          <w:tcPr>
            <w:tcW w:w="96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color w:val="auto"/>
                <w:sz w:val="15"/>
                <w:szCs w:val="15"/>
              </w:rPr>
            </w:pPr>
            <w:r>
              <w:rPr>
                <w:bCs/>
                <w:color w:val="auto"/>
                <w:sz w:val="15"/>
                <w:szCs w:val="15"/>
              </w:rPr>
              <w:t>--</w:t>
            </w:r>
          </w:p>
        </w:tc>
        <w:tc>
          <w:tcPr>
            <w:tcW w:w="1970"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color w:val="auto"/>
                <w:sz w:val="15"/>
                <w:szCs w:val="15"/>
              </w:rPr>
            </w:pPr>
            <w:r>
              <w:rPr>
                <w:bCs/>
                <w:color w:val="auto"/>
                <w:sz w:val="15"/>
                <w:szCs w:val="15"/>
              </w:rPr>
              <w:t>--</w:t>
            </w:r>
          </w:p>
        </w:tc>
        <w:tc>
          <w:tcPr>
            <w:tcW w:w="878" w:type="dxa"/>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color w:val="auto"/>
                <w:sz w:val="15"/>
                <w:szCs w:val="15"/>
              </w:rPr>
            </w:pPr>
            <w:r>
              <w:rPr>
                <w:bCs/>
                <w:color w:val="auto"/>
                <w:sz w:val="15"/>
                <w:szCs w:val="15"/>
              </w:rPr>
              <w:t>--</w:t>
            </w:r>
          </w:p>
        </w:tc>
        <w:tc>
          <w:tcPr>
            <w:tcW w:w="1071"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color w:val="auto"/>
                <w:sz w:val="15"/>
                <w:szCs w:val="15"/>
              </w:rPr>
            </w:pPr>
            <w:r>
              <w:rPr>
                <w:bCs/>
                <w:color w:val="auto"/>
                <w:sz w:val="15"/>
                <w:szCs w:val="15"/>
              </w:rPr>
              <w:t>--</w:t>
            </w:r>
          </w:p>
        </w:tc>
        <w:tc>
          <w:tcPr>
            <w:tcW w:w="1060" w:type="dxa"/>
            <w:gridSpan w:val="2"/>
            <w:tcBorders>
              <w:top w:val="single" w:color="auto" w:sz="4" w:space="0"/>
              <w:left w:val="single" w:color="auto" w:sz="4" w:space="0"/>
              <w:bottom w:val="single" w:color="auto" w:sz="4" w:space="0"/>
              <w:right w:val="single" w:color="auto" w:sz="4" w:space="0"/>
            </w:tcBorders>
            <w:tcMar>
              <w:top w:w="0" w:type="dxa"/>
              <w:left w:w="57" w:type="dxa"/>
              <w:bottom w:w="0" w:type="dxa"/>
              <w:right w:w="57" w:type="dxa"/>
            </w:tcMar>
            <w:vAlign w:val="center"/>
          </w:tcPr>
          <w:p>
            <w:pPr>
              <w:spacing w:line="180" w:lineRule="exact"/>
              <w:ind w:firstLine="0" w:firstLineChars="0"/>
              <w:jc w:val="center"/>
              <w:rPr>
                <w:color w:val="auto"/>
                <w:sz w:val="15"/>
                <w:szCs w:val="15"/>
              </w:rPr>
            </w:pPr>
            <w:r>
              <w:rPr>
                <w:bCs/>
                <w:color w:val="auto"/>
                <w:sz w:val="15"/>
                <w:szCs w:val="15"/>
              </w:rPr>
              <w:t>--</w:t>
            </w:r>
          </w:p>
        </w:tc>
        <w:tc>
          <w:tcPr>
            <w:tcW w:w="816" w:type="dxa"/>
            <w:tcBorders>
              <w:top w:val="single" w:color="auto" w:sz="4" w:space="0"/>
              <w:left w:val="single" w:color="auto" w:sz="4" w:space="0"/>
              <w:bottom w:val="single" w:color="auto" w:sz="4" w:space="0"/>
              <w:right w:val="single" w:color="auto" w:sz="8" w:space="0"/>
            </w:tcBorders>
            <w:tcMar>
              <w:top w:w="0" w:type="dxa"/>
              <w:left w:w="57" w:type="dxa"/>
              <w:bottom w:w="0" w:type="dxa"/>
              <w:right w:w="57" w:type="dxa"/>
            </w:tcMar>
            <w:vAlign w:val="center"/>
          </w:tcPr>
          <w:p>
            <w:pPr>
              <w:spacing w:line="180" w:lineRule="exact"/>
              <w:ind w:firstLine="0" w:firstLineChars="0"/>
              <w:jc w:val="center"/>
              <w:rPr>
                <w:color w:val="auto"/>
                <w:sz w:val="15"/>
                <w:szCs w:val="15"/>
              </w:rPr>
            </w:pPr>
            <w:r>
              <w:rPr>
                <w:bCs/>
                <w:color w:val="auto"/>
                <w:sz w:val="15"/>
                <w:szCs w:val="15"/>
              </w:rPr>
              <w:t>--</w:t>
            </w:r>
          </w:p>
        </w:tc>
      </w:tr>
    </w:tbl>
    <w:p>
      <w:pPr>
        <w:pStyle w:val="33"/>
        <w:jc w:val="both"/>
        <w:rPr>
          <w:rFonts w:ascii="Calibri" w:hAnsi="Calibri"/>
          <w:color w:val="auto"/>
          <w:sz w:val="15"/>
          <w:szCs w:val="15"/>
        </w:rPr>
      </w:pPr>
      <w:r>
        <w:rPr>
          <w:rFonts w:hint="eastAsia" w:ascii="Calibri" w:hAnsi="Calibri"/>
          <w:b/>
          <w:color w:val="auto"/>
          <w:sz w:val="15"/>
          <w:szCs w:val="15"/>
        </w:rPr>
        <w:t>注</w:t>
      </w:r>
      <w:r>
        <w:rPr>
          <w:rFonts w:hint="eastAsia" w:ascii="Calibri" w:hAnsi="Calibri"/>
          <w:color w:val="auto"/>
          <w:sz w:val="15"/>
          <w:szCs w:val="15"/>
        </w:rPr>
        <w:t>：</w:t>
      </w:r>
      <w:r>
        <w:rPr>
          <w:rFonts w:ascii="Calibri" w:hAnsi="Calibri"/>
          <w:color w:val="auto"/>
          <w:sz w:val="15"/>
          <w:szCs w:val="15"/>
        </w:rPr>
        <w:t>1</w:t>
      </w:r>
      <w:r>
        <w:rPr>
          <w:rFonts w:hint="eastAsia" w:ascii="Calibri" w:hAnsi="Calibri"/>
          <w:color w:val="auto"/>
          <w:sz w:val="15"/>
          <w:szCs w:val="15"/>
        </w:rPr>
        <w:t>、排放增减量：(</w:t>
      </w:r>
      <w:r>
        <w:rPr>
          <w:rFonts w:ascii="Calibri" w:hAnsi="Calibri"/>
          <w:color w:val="auto"/>
          <w:sz w:val="15"/>
          <w:szCs w:val="15"/>
        </w:rPr>
        <w:t>+</w:t>
      </w:r>
      <w:r>
        <w:rPr>
          <w:rFonts w:hint="eastAsia" w:ascii="Calibri" w:hAnsi="Calibri"/>
          <w:color w:val="auto"/>
          <w:sz w:val="15"/>
          <w:szCs w:val="15"/>
        </w:rPr>
        <w:t>)表示增加，(</w:t>
      </w:r>
      <w:r>
        <w:rPr>
          <w:rFonts w:ascii="Calibri" w:hAnsi="Calibri"/>
          <w:color w:val="auto"/>
          <w:sz w:val="15"/>
          <w:szCs w:val="15"/>
        </w:rPr>
        <w:t>-</w:t>
      </w:r>
      <w:r>
        <w:rPr>
          <w:rFonts w:hint="eastAsia" w:ascii="Calibri" w:hAnsi="Calibri"/>
          <w:color w:val="auto"/>
          <w:sz w:val="15"/>
          <w:szCs w:val="15"/>
        </w:rPr>
        <w:t>)表示减少。</w:t>
      </w:r>
      <w:r>
        <w:rPr>
          <w:rFonts w:ascii="Calibri" w:hAnsi="Calibri"/>
          <w:color w:val="auto"/>
          <w:sz w:val="15"/>
          <w:szCs w:val="15"/>
        </w:rPr>
        <w:t>2</w:t>
      </w:r>
      <w:r>
        <w:rPr>
          <w:rFonts w:hint="eastAsia" w:ascii="Calibri" w:hAnsi="Calibri"/>
          <w:color w:val="auto"/>
          <w:sz w:val="15"/>
          <w:szCs w:val="15"/>
        </w:rPr>
        <w:t>、</w:t>
      </w:r>
      <w:r>
        <w:rPr>
          <w:rFonts w:ascii="Calibri" w:hAnsi="Calibri"/>
          <w:color w:val="auto"/>
          <w:sz w:val="15"/>
          <w:szCs w:val="15"/>
        </w:rPr>
        <w:t>(12)=(6)-(8)-(11)</w:t>
      </w:r>
      <w:r>
        <w:rPr>
          <w:rFonts w:hint="eastAsia" w:ascii="Calibri" w:hAnsi="Calibri"/>
          <w:color w:val="auto"/>
          <w:sz w:val="15"/>
          <w:szCs w:val="15"/>
        </w:rPr>
        <w:t>，(</w:t>
      </w:r>
      <w:r>
        <w:rPr>
          <w:rFonts w:ascii="Calibri" w:hAnsi="Calibri"/>
          <w:color w:val="auto"/>
          <w:sz w:val="15"/>
          <w:szCs w:val="15"/>
        </w:rPr>
        <w:t>9</w:t>
      </w:r>
      <w:r>
        <w:rPr>
          <w:rFonts w:hint="eastAsia" w:ascii="Calibri" w:hAnsi="Calibri"/>
          <w:color w:val="auto"/>
          <w:sz w:val="15"/>
          <w:szCs w:val="15"/>
        </w:rPr>
        <w:t>)</w:t>
      </w:r>
      <w:r>
        <w:rPr>
          <w:rFonts w:ascii="Calibri" w:hAnsi="Calibri"/>
          <w:color w:val="auto"/>
          <w:sz w:val="15"/>
          <w:szCs w:val="15"/>
        </w:rPr>
        <w:t>= (4)-(5)-(8)- (11) +</w:t>
      </w:r>
      <w:r>
        <w:rPr>
          <w:rFonts w:hint="eastAsia" w:ascii="Calibri" w:hAnsi="Calibri"/>
          <w:color w:val="auto"/>
          <w:sz w:val="15"/>
          <w:szCs w:val="15"/>
        </w:rPr>
        <w:t>(</w:t>
      </w:r>
      <w:r>
        <w:rPr>
          <w:rFonts w:ascii="Calibri" w:hAnsi="Calibri"/>
          <w:color w:val="auto"/>
          <w:sz w:val="15"/>
          <w:szCs w:val="15"/>
        </w:rPr>
        <w:t>1</w:t>
      </w:r>
      <w:r>
        <w:rPr>
          <w:rFonts w:hint="eastAsia" w:ascii="Calibri" w:hAnsi="Calibri"/>
          <w:color w:val="auto"/>
          <w:sz w:val="15"/>
          <w:szCs w:val="15"/>
        </w:rPr>
        <w:t>)。</w:t>
      </w:r>
      <w:r>
        <w:rPr>
          <w:rFonts w:ascii="Calibri" w:hAnsi="Calibri"/>
          <w:color w:val="auto"/>
          <w:sz w:val="15"/>
          <w:szCs w:val="15"/>
        </w:rPr>
        <w:t>3</w:t>
      </w:r>
      <w:r>
        <w:rPr>
          <w:rFonts w:hint="eastAsia" w:ascii="Calibri" w:hAnsi="Calibri"/>
          <w:color w:val="auto"/>
          <w:sz w:val="15"/>
          <w:szCs w:val="15"/>
        </w:rPr>
        <w:t>、计量单位：废水排放量</w:t>
      </w:r>
      <w:r>
        <w:rPr>
          <w:rFonts w:ascii="Calibri" w:hAnsi="Calibri"/>
          <w:color w:val="auto"/>
          <w:sz w:val="15"/>
          <w:szCs w:val="15"/>
        </w:rPr>
        <w:t>——</w:t>
      </w:r>
      <w:r>
        <w:rPr>
          <w:rFonts w:hint="eastAsia" w:ascii="Calibri" w:hAnsi="Calibri"/>
          <w:color w:val="auto"/>
          <w:sz w:val="15"/>
          <w:szCs w:val="15"/>
        </w:rPr>
        <w:t>万吨</w:t>
      </w:r>
      <w:r>
        <w:rPr>
          <w:rFonts w:ascii="Calibri" w:hAnsi="Calibri"/>
          <w:color w:val="auto"/>
          <w:sz w:val="15"/>
          <w:szCs w:val="15"/>
        </w:rPr>
        <w:t>/</w:t>
      </w:r>
      <w:r>
        <w:rPr>
          <w:rFonts w:hint="eastAsia" w:ascii="Calibri" w:hAnsi="Calibri"/>
          <w:color w:val="auto"/>
          <w:sz w:val="15"/>
          <w:szCs w:val="15"/>
        </w:rPr>
        <w:t>年；废气排放量</w:t>
      </w:r>
      <w:r>
        <w:rPr>
          <w:rFonts w:ascii="Calibri" w:hAnsi="Calibri"/>
          <w:color w:val="auto"/>
          <w:sz w:val="15"/>
          <w:szCs w:val="15"/>
        </w:rPr>
        <w:t>——</w:t>
      </w:r>
      <w:r>
        <w:rPr>
          <w:rFonts w:hint="eastAsia" w:ascii="Calibri" w:hAnsi="Calibri"/>
          <w:color w:val="auto"/>
          <w:sz w:val="15"/>
          <w:szCs w:val="15"/>
        </w:rPr>
        <w:t>万标立方米</w:t>
      </w:r>
      <w:r>
        <w:rPr>
          <w:rFonts w:ascii="Calibri" w:hAnsi="Calibri"/>
          <w:color w:val="auto"/>
          <w:sz w:val="15"/>
          <w:szCs w:val="15"/>
        </w:rPr>
        <w:t>/</w:t>
      </w:r>
      <w:r>
        <w:rPr>
          <w:rFonts w:hint="eastAsia" w:ascii="Calibri" w:hAnsi="Calibri"/>
          <w:color w:val="auto"/>
          <w:sz w:val="15"/>
          <w:szCs w:val="15"/>
        </w:rPr>
        <w:t>年；工业固体废物排放量</w:t>
      </w:r>
      <w:r>
        <w:rPr>
          <w:rFonts w:ascii="Calibri" w:hAnsi="Calibri"/>
          <w:color w:val="auto"/>
          <w:sz w:val="15"/>
          <w:szCs w:val="15"/>
        </w:rPr>
        <w:t>——</w:t>
      </w:r>
      <w:r>
        <w:rPr>
          <w:rFonts w:hint="eastAsia" w:ascii="Calibri" w:hAnsi="Calibri"/>
          <w:color w:val="auto"/>
          <w:sz w:val="15"/>
          <w:szCs w:val="15"/>
        </w:rPr>
        <w:t>万吨</w:t>
      </w:r>
      <w:r>
        <w:rPr>
          <w:rFonts w:ascii="Calibri" w:hAnsi="Calibri"/>
          <w:color w:val="auto"/>
          <w:sz w:val="15"/>
          <w:szCs w:val="15"/>
        </w:rPr>
        <w:t>/</w:t>
      </w:r>
      <w:r>
        <w:rPr>
          <w:rFonts w:hint="eastAsia" w:ascii="Calibri" w:hAnsi="Calibri"/>
          <w:color w:val="auto"/>
          <w:sz w:val="15"/>
          <w:szCs w:val="15"/>
        </w:rPr>
        <w:t>年；水污染物排放浓度</w:t>
      </w:r>
      <w:r>
        <w:rPr>
          <w:rFonts w:ascii="Calibri" w:hAnsi="Calibri"/>
          <w:color w:val="auto"/>
          <w:sz w:val="15"/>
          <w:szCs w:val="15"/>
        </w:rPr>
        <w:t>——</w:t>
      </w:r>
      <w:r>
        <w:rPr>
          <w:rFonts w:hint="eastAsia" w:ascii="Calibri" w:hAnsi="Calibri"/>
          <w:color w:val="auto"/>
          <w:sz w:val="15"/>
          <w:szCs w:val="15"/>
        </w:rPr>
        <w:t>毫克</w:t>
      </w:r>
      <w:r>
        <w:rPr>
          <w:rFonts w:ascii="Calibri" w:hAnsi="Calibri"/>
          <w:color w:val="auto"/>
          <w:sz w:val="15"/>
          <w:szCs w:val="15"/>
        </w:rPr>
        <w:t>/</w:t>
      </w:r>
      <w:r>
        <w:rPr>
          <w:rFonts w:hint="eastAsia" w:ascii="Calibri" w:hAnsi="Calibri"/>
          <w:color w:val="auto"/>
          <w:sz w:val="15"/>
          <w:szCs w:val="15"/>
        </w:rPr>
        <w:t>升。</w:t>
      </w:r>
    </w:p>
    <w:p>
      <w:pPr>
        <w:ind w:firstLine="480"/>
        <w:rPr>
          <w:color w:val="auto"/>
          <w:highlight w:val="yellow"/>
        </w:rPr>
        <w:sectPr>
          <w:pgSz w:w="16838" w:h="11906" w:orient="landscape"/>
          <w:pgMar w:top="851" w:right="720" w:bottom="851" w:left="720" w:header="851" w:footer="992" w:gutter="0"/>
          <w:cols w:space="425" w:num="1"/>
          <w:docGrid w:type="lines" w:linePitch="326" w:charSpace="0"/>
        </w:sectPr>
      </w:pPr>
    </w:p>
    <w:p>
      <w:pPr>
        <w:pStyle w:val="15"/>
        <w:outlineLvl w:val="9"/>
        <w:rPr>
          <w:color w:val="auto"/>
        </w:rPr>
      </w:pPr>
      <w:bookmarkStart w:id="134" w:name="_GoBack"/>
      <w:bookmarkEnd w:id="134"/>
    </w:p>
    <w:sectPr>
      <w:pgSz w:w="11906" w:h="16838"/>
      <w:pgMar w:top="1304" w:right="1588" w:bottom="1304" w:left="1588" w:header="851" w:footer="992" w:gutter="0"/>
      <w:cols w:space="425" w:num="1"/>
      <w:docGrid w:type="lines" w:linePitch="326"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00002FF" w:usb1="4000ACFF" w:usb2="00000001" w:usb3="00000000" w:csb0="2000019F" w:csb1="00000000"/>
  </w:font>
  <w:font w:name="等线">
    <w:altName w:val="宋体"/>
    <w:panose1 w:val="02010600030101010101"/>
    <w:charset w:val="86"/>
    <w:family w:val="auto"/>
    <w:pitch w:val="default"/>
    <w:sig w:usb0="00000000" w:usb1="00000000" w:usb2="00000016" w:usb3="00000000" w:csb0="0004000F" w:csb1="00000000"/>
  </w:font>
  <w:font w:name="等线 Light">
    <w:altName w:val="宋体"/>
    <w:panose1 w:val="02010600030101010101"/>
    <w:charset w:val="86"/>
    <w:family w:val="auto"/>
    <w:pitch w:val="default"/>
    <w:sig w:usb0="00000000" w:usb1="00000000" w:usb2="00000016" w:usb3="00000000" w:csb0="0004000F" w:csb1="00000000"/>
  </w:font>
  <w:font w:name="Cambria Math">
    <w:panose1 w:val="02040503050406030204"/>
    <w:charset w:val="00"/>
    <w:family w:val="roman"/>
    <w:pitch w:val="default"/>
    <w:sig w:usb0="E00002FF" w:usb1="420024FF" w:usb2="00000000" w:usb3="00000000" w:csb0="2000019F" w:csb1="00000000"/>
  </w:font>
  <w:font w:name="方正姚体">
    <w:panose1 w:val="02010601030101010101"/>
    <w:charset w:val="86"/>
    <w:family w:val="auto"/>
    <w:pitch w:val="default"/>
    <w:sig w:usb0="00000003" w:usb1="080E0000" w:usb2="00000000" w:usb3="00000000" w:csb0="00040000" w:csb1="00000000"/>
  </w:font>
  <w:font w:name="Segoe Print">
    <w:panose1 w:val="02000600000000000000"/>
    <w:charset w:val="00"/>
    <w:family w:val="auto"/>
    <w:pitch w:val="default"/>
    <w:sig w:usb0="0000028F" w:usb1="00000000" w:usb2="00000000" w:usb3="00000000" w:csb0="2000009F" w:csb1="47010000"/>
  </w:font>
  <w:font w:name="Arial">
    <w:panose1 w:val="020B0604020202020204"/>
    <w:charset w:val="00"/>
    <w:family w:val="auto"/>
    <w:pitch w:val="default"/>
    <w:sig w:usb0="E0002AFF" w:usb1="C0007843" w:usb2="00000009" w:usb3="00000000" w:csb0="400001FF" w:csb1="FFFF0000"/>
  </w:font>
  <w:font w:name="等线">
    <w:altName w:val="宋体"/>
    <w:panose1 w:val="00000000000000000000"/>
    <w:charset w:val="86"/>
    <w:family w:val="auto"/>
    <w:pitch w:val="default"/>
    <w:sig w:usb0="00000000" w:usb1="00000000" w:usb2="00000000" w:usb3="00000000" w:csb0="00000000" w:csb1="00000000"/>
  </w:font>
  <w:font w:name="等线 Light">
    <w:altName w:val="Segoe Print"/>
    <w:panose1 w:val="00000000000000000000"/>
    <w:charset w:val="00"/>
    <w:family w:val="auto"/>
    <w:pitch w:val="default"/>
    <w:sig w:usb0="00000000" w:usb1="00000000" w:usb2="00000000" w:usb3="00000000" w:csb0="00000000" w:csb1="00000000"/>
  </w:font>
  <w:font w:name="等线">
    <w:altName w:val="Segoe Print"/>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ind w:firstLine="360"/>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1793720"/>
    </w:sdtPr>
    <w:sdtContent>
      <w:p>
        <w:pPr>
          <w:pStyle w:val="12"/>
          <w:ind w:firstLine="360"/>
          <w:jc w:val="center"/>
        </w:pPr>
        <w:r>
          <w:fldChar w:fldCharType="begin"/>
        </w:r>
        <w:r>
          <w:instrText xml:space="preserve">PAGE   \* MERGEFORMAT</w:instrText>
        </w:r>
        <w:r>
          <w:fldChar w:fldCharType="separate"/>
        </w:r>
        <w:r>
          <w:rPr>
            <w:lang w:val="zh-CN"/>
          </w:rPr>
          <w:t>i</w:t>
        </w:r>
        <w: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88255877"/>
    </w:sdtPr>
    <w:sdtContent>
      <w:p>
        <w:pPr>
          <w:pStyle w:val="12"/>
          <w:ind w:firstLine="360"/>
          <w:jc w:val="center"/>
        </w:pPr>
        <w:r>
          <w:fldChar w:fldCharType="begin"/>
        </w:r>
        <w:r>
          <w:instrText xml:space="preserve">PAGE   \* MERGEFORMAT</w:instrText>
        </w:r>
        <w:r>
          <w:fldChar w:fldCharType="separate"/>
        </w:r>
        <w:r>
          <w:rPr>
            <w:lang w:val="zh-CN"/>
          </w:rPr>
          <w:t>16</w:t>
        </w:r>
        <w:r>
          <w:fldChar w:fldCharType="end"/>
        </w:r>
      </w:p>
    </w:sdtContent>
  </w:sdt>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F1E1E17"/>
    <w:multiLevelType w:val="multilevel"/>
    <w:tmpl w:val="3F1E1E17"/>
    <w:lvl w:ilvl="0" w:tentative="0">
      <w:start w:val="1"/>
      <w:numFmt w:val="decimal"/>
      <w:pStyle w:val="2"/>
      <w:suff w:val="space"/>
      <w:lvlText w:val="%1"/>
      <w:lvlJc w:val="left"/>
      <w:pPr>
        <w:ind w:left="198" w:hanging="57"/>
      </w:pPr>
      <w:rPr>
        <w:rFonts w:hint="eastAsia"/>
      </w:rPr>
    </w:lvl>
    <w:lvl w:ilvl="1" w:tentative="0">
      <w:start w:val="1"/>
      <w:numFmt w:val="decimal"/>
      <w:pStyle w:val="3"/>
      <w:suff w:val="space"/>
      <w:lvlText w:val="%1.%2"/>
      <w:lvlJc w:val="left"/>
      <w:pPr>
        <w:ind w:left="1389" w:hanging="113"/>
      </w:pPr>
      <w:rPr>
        <w:rFonts w:hint="eastAsia"/>
      </w:rPr>
    </w:lvl>
    <w:lvl w:ilvl="2" w:tentative="0">
      <w:start w:val="1"/>
      <w:numFmt w:val="decimal"/>
      <w:pStyle w:val="4"/>
      <w:suff w:val="space"/>
      <w:lvlText w:val="%1.%2.%3"/>
      <w:lvlJc w:val="left"/>
      <w:pPr>
        <w:ind w:left="878" w:hanging="170"/>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1">
    <w:nsid w:val="62E363E7"/>
    <w:multiLevelType w:val="multilevel"/>
    <w:tmpl w:val="62E363E7"/>
    <w:lvl w:ilvl="0" w:tentative="0">
      <w:start w:val="1"/>
      <w:numFmt w:val="decimal"/>
      <w:suff w:val="nothing"/>
      <w:lvlText w:val="（%1）"/>
      <w:lvlJc w:val="left"/>
      <w:pPr>
        <w:ind w:left="0" w:firstLine="0"/>
      </w:pPr>
      <w:rPr>
        <w:rFonts w:hint="default" w:ascii="Times New Roman" w:hAnsi="Times New Roman" w:cs="Times New Roman"/>
        <w:lang w:val="en-US"/>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num w:numId="1">
    <w:abstractNumId w:val="0"/>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
  <w:bordersDoNotSurroundHeader w:val="1"/>
  <w:bordersDoNotSurroundFooter w:val="1"/>
  <w:documentProtection w:enforcement="0"/>
  <w:defaultTabStop w:val="420"/>
  <w:drawingGridHorizontalSpacing w:val="120"/>
  <w:drawingGridVerticalSpacing w:val="163"/>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726C5"/>
    <w:rsid w:val="00000174"/>
    <w:rsid w:val="000010EB"/>
    <w:rsid w:val="00001663"/>
    <w:rsid w:val="0000772B"/>
    <w:rsid w:val="000115E9"/>
    <w:rsid w:val="000115F9"/>
    <w:rsid w:val="00014A23"/>
    <w:rsid w:val="000157CF"/>
    <w:rsid w:val="00015804"/>
    <w:rsid w:val="00020D57"/>
    <w:rsid w:val="00022CF1"/>
    <w:rsid w:val="00023D31"/>
    <w:rsid w:val="00025561"/>
    <w:rsid w:val="00025E23"/>
    <w:rsid w:val="00030D7C"/>
    <w:rsid w:val="00032A92"/>
    <w:rsid w:val="00032B80"/>
    <w:rsid w:val="00032BBA"/>
    <w:rsid w:val="00033260"/>
    <w:rsid w:val="000341BC"/>
    <w:rsid w:val="00035549"/>
    <w:rsid w:val="00035A02"/>
    <w:rsid w:val="0004314D"/>
    <w:rsid w:val="00045C45"/>
    <w:rsid w:val="00046065"/>
    <w:rsid w:val="00046A92"/>
    <w:rsid w:val="000518D5"/>
    <w:rsid w:val="0005206E"/>
    <w:rsid w:val="00054BB2"/>
    <w:rsid w:val="000560AE"/>
    <w:rsid w:val="0005618B"/>
    <w:rsid w:val="000604E3"/>
    <w:rsid w:val="00060F4A"/>
    <w:rsid w:val="00061377"/>
    <w:rsid w:val="00063033"/>
    <w:rsid w:val="00064E13"/>
    <w:rsid w:val="00065372"/>
    <w:rsid w:val="000712BD"/>
    <w:rsid w:val="000728C1"/>
    <w:rsid w:val="00073E5C"/>
    <w:rsid w:val="0007415A"/>
    <w:rsid w:val="00074311"/>
    <w:rsid w:val="00074C8F"/>
    <w:rsid w:val="000755CA"/>
    <w:rsid w:val="00075C21"/>
    <w:rsid w:val="00076277"/>
    <w:rsid w:val="00082F96"/>
    <w:rsid w:val="000839BD"/>
    <w:rsid w:val="000856D9"/>
    <w:rsid w:val="000859B7"/>
    <w:rsid w:val="0008748D"/>
    <w:rsid w:val="0009072B"/>
    <w:rsid w:val="00091241"/>
    <w:rsid w:val="00092C9A"/>
    <w:rsid w:val="00092D52"/>
    <w:rsid w:val="000939CD"/>
    <w:rsid w:val="00097B1E"/>
    <w:rsid w:val="000A3A13"/>
    <w:rsid w:val="000A3EAE"/>
    <w:rsid w:val="000A6B70"/>
    <w:rsid w:val="000A7ADA"/>
    <w:rsid w:val="000B08A4"/>
    <w:rsid w:val="000B16DD"/>
    <w:rsid w:val="000B6882"/>
    <w:rsid w:val="000C3DEA"/>
    <w:rsid w:val="000C4F65"/>
    <w:rsid w:val="000C543C"/>
    <w:rsid w:val="000D599D"/>
    <w:rsid w:val="000D6CE5"/>
    <w:rsid w:val="000D7931"/>
    <w:rsid w:val="000E3C58"/>
    <w:rsid w:val="000E45E3"/>
    <w:rsid w:val="000E5606"/>
    <w:rsid w:val="000E5C14"/>
    <w:rsid w:val="000E5D67"/>
    <w:rsid w:val="000E66E9"/>
    <w:rsid w:val="000E7CBF"/>
    <w:rsid w:val="000E7DEB"/>
    <w:rsid w:val="000F07C0"/>
    <w:rsid w:val="000F1684"/>
    <w:rsid w:val="000F1DA4"/>
    <w:rsid w:val="000F2121"/>
    <w:rsid w:val="000F4712"/>
    <w:rsid w:val="000F493E"/>
    <w:rsid w:val="000F51AD"/>
    <w:rsid w:val="000F6B27"/>
    <w:rsid w:val="0010161C"/>
    <w:rsid w:val="00104F89"/>
    <w:rsid w:val="00105E33"/>
    <w:rsid w:val="001104FB"/>
    <w:rsid w:val="00116007"/>
    <w:rsid w:val="00116B49"/>
    <w:rsid w:val="001206D8"/>
    <w:rsid w:val="0012691E"/>
    <w:rsid w:val="00133226"/>
    <w:rsid w:val="00135B6D"/>
    <w:rsid w:val="0013762F"/>
    <w:rsid w:val="001435CD"/>
    <w:rsid w:val="00143A3D"/>
    <w:rsid w:val="00144115"/>
    <w:rsid w:val="00146121"/>
    <w:rsid w:val="00146B8A"/>
    <w:rsid w:val="0015129F"/>
    <w:rsid w:val="00151F14"/>
    <w:rsid w:val="001523DB"/>
    <w:rsid w:val="00153EED"/>
    <w:rsid w:val="00154591"/>
    <w:rsid w:val="001574E1"/>
    <w:rsid w:val="00157FE8"/>
    <w:rsid w:val="00160CF1"/>
    <w:rsid w:val="00161252"/>
    <w:rsid w:val="00164420"/>
    <w:rsid w:val="001671D3"/>
    <w:rsid w:val="00167890"/>
    <w:rsid w:val="00177367"/>
    <w:rsid w:val="00183244"/>
    <w:rsid w:val="001863E6"/>
    <w:rsid w:val="00187EBB"/>
    <w:rsid w:val="0019231C"/>
    <w:rsid w:val="0019484F"/>
    <w:rsid w:val="00195717"/>
    <w:rsid w:val="001965B4"/>
    <w:rsid w:val="001A0C2D"/>
    <w:rsid w:val="001A463A"/>
    <w:rsid w:val="001A51B8"/>
    <w:rsid w:val="001A7E3B"/>
    <w:rsid w:val="001B18E7"/>
    <w:rsid w:val="001B4DBB"/>
    <w:rsid w:val="001B62F6"/>
    <w:rsid w:val="001C1273"/>
    <w:rsid w:val="001C3278"/>
    <w:rsid w:val="001C3FEE"/>
    <w:rsid w:val="001C4F9A"/>
    <w:rsid w:val="001D0AE9"/>
    <w:rsid w:val="001D0D5B"/>
    <w:rsid w:val="001D472C"/>
    <w:rsid w:val="001D4CE2"/>
    <w:rsid w:val="001D5E7E"/>
    <w:rsid w:val="001E1D5C"/>
    <w:rsid w:val="001E25DD"/>
    <w:rsid w:val="001E27FD"/>
    <w:rsid w:val="001E4449"/>
    <w:rsid w:val="001E6AAD"/>
    <w:rsid w:val="001F232A"/>
    <w:rsid w:val="001F7F3E"/>
    <w:rsid w:val="00200541"/>
    <w:rsid w:val="00201F37"/>
    <w:rsid w:val="00202D10"/>
    <w:rsid w:val="00203795"/>
    <w:rsid w:val="00203C82"/>
    <w:rsid w:val="0021070F"/>
    <w:rsid w:val="002137CB"/>
    <w:rsid w:val="00213FD8"/>
    <w:rsid w:val="002157D0"/>
    <w:rsid w:val="00215BCC"/>
    <w:rsid w:val="00216AD4"/>
    <w:rsid w:val="00221D7D"/>
    <w:rsid w:val="0022442C"/>
    <w:rsid w:val="002246BF"/>
    <w:rsid w:val="0022667A"/>
    <w:rsid w:val="00226753"/>
    <w:rsid w:val="00226A1B"/>
    <w:rsid w:val="00227406"/>
    <w:rsid w:val="00227D2D"/>
    <w:rsid w:val="002327CB"/>
    <w:rsid w:val="002335CB"/>
    <w:rsid w:val="00233DF8"/>
    <w:rsid w:val="0023408F"/>
    <w:rsid w:val="00235B71"/>
    <w:rsid w:val="002418CC"/>
    <w:rsid w:val="0024304B"/>
    <w:rsid w:val="0024509D"/>
    <w:rsid w:val="00247091"/>
    <w:rsid w:val="002475C5"/>
    <w:rsid w:val="00247ED9"/>
    <w:rsid w:val="00251D25"/>
    <w:rsid w:val="00251E41"/>
    <w:rsid w:val="00252EB2"/>
    <w:rsid w:val="00254FF9"/>
    <w:rsid w:val="00257829"/>
    <w:rsid w:val="002624F3"/>
    <w:rsid w:val="002626B0"/>
    <w:rsid w:val="002626F5"/>
    <w:rsid w:val="00262853"/>
    <w:rsid w:val="002639E9"/>
    <w:rsid w:val="00263B83"/>
    <w:rsid w:val="00263FD1"/>
    <w:rsid w:val="002644BC"/>
    <w:rsid w:val="00264725"/>
    <w:rsid w:val="00264898"/>
    <w:rsid w:val="002662A6"/>
    <w:rsid w:val="002663D6"/>
    <w:rsid w:val="0027021D"/>
    <w:rsid w:val="002702C4"/>
    <w:rsid w:val="00270441"/>
    <w:rsid w:val="002704ED"/>
    <w:rsid w:val="002730EB"/>
    <w:rsid w:val="00274731"/>
    <w:rsid w:val="00277E3C"/>
    <w:rsid w:val="00280BB8"/>
    <w:rsid w:val="00285B22"/>
    <w:rsid w:val="00287FEF"/>
    <w:rsid w:val="00292B20"/>
    <w:rsid w:val="00294F97"/>
    <w:rsid w:val="002969B9"/>
    <w:rsid w:val="002A059D"/>
    <w:rsid w:val="002A19CC"/>
    <w:rsid w:val="002A2305"/>
    <w:rsid w:val="002A7560"/>
    <w:rsid w:val="002A7FE9"/>
    <w:rsid w:val="002B0D73"/>
    <w:rsid w:val="002B1573"/>
    <w:rsid w:val="002B266F"/>
    <w:rsid w:val="002B42BA"/>
    <w:rsid w:val="002B4518"/>
    <w:rsid w:val="002B5F96"/>
    <w:rsid w:val="002C4924"/>
    <w:rsid w:val="002C76A5"/>
    <w:rsid w:val="002D1226"/>
    <w:rsid w:val="002D30D8"/>
    <w:rsid w:val="002D4C8E"/>
    <w:rsid w:val="002D4D09"/>
    <w:rsid w:val="002D6F2F"/>
    <w:rsid w:val="002E0ACF"/>
    <w:rsid w:val="002E6ED5"/>
    <w:rsid w:val="002E7298"/>
    <w:rsid w:val="002F03C7"/>
    <w:rsid w:val="002F1345"/>
    <w:rsid w:val="0030006F"/>
    <w:rsid w:val="003004AC"/>
    <w:rsid w:val="00302363"/>
    <w:rsid w:val="003053B4"/>
    <w:rsid w:val="003054C2"/>
    <w:rsid w:val="00306B40"/>
    <w:rsid w:val="003130A0"/>
    <w:rsid w:val="0031344E"/>
    <w:rsid w:val="0031469C"/>
    <w:rsid w:val="00316305"/>
    <w:rsid w:val="00316351"/>
    <w:rsid w:val="00316D32"/>
    <w:rsid w:val="00320EF2"/>
    <w:rsid w:val="00323D8B"/>
    <w:rsid w:val="003275CF"/>
    <w:rsid w:val="0033193F"/>
    <w:rsid w:val="00331D6D"/>
    <w:rsid w:val="003357D1"/>
    <w:rsid w:val="003376E9"/>
    <w:rsid w:val="00337C04"/>
    <w:rsid w:val="00340D57"/>
    <w:rsid w:val="00341259"/>
    <w:rsid w:val="00342990"/>
    <w:rsid w:val="003449BB"/>
    <w:rsid w:val="003522B0"/>
    <w:rsid w:val="0035238E"/>
    <w:rsid w:val="003537BE"/>
    <w:rsid w:val="00353CCA"/>
    <w:rsid w:val="00353DE8"/>
    <w:rsid w:val="00354609"/>
    <w:rsid w:val="00356FB3"/>
    <w:rsid w:val="003573CD"/>
    <w:rsid w:val="003601C6"/>
    <w:rsid w:val="00360AF0"/>
    <w:rsid w:val="00361243"/>
    <w:rsid w:val="00364136"/>
    <w:rsid w:val="00364F6D"/>
    <w:rsid w:val="00367184"/>
    <w:rsid w:val="0037136C"/>
    <w:rsid w:val="00373464"/>
    <w:rsid w:val="003759A9"/>
    <w:rsid w:val="0038246A"/>
    <w:rsid w:val="003824D9"/>
    <w:rsid w:val="0038368A"/>
    <w:rsid w:val="00384990"/>
    <w:rsid w:val="00387847"/>
    <w:rsid w:val="003912B8"/>
    <w:rsid w:val="0039333C"/>
    <w:rsid w:val="00393912"/>
    <w:rsid w:val="00395C12"/>
    <w:rsid w:val="003A3109"/>
    <w:rsid w:val="003A4229"/>
    <w:rsid w:val="003A49E1"/>
    <w:rsid w:val="003A61A7"/>
    <w:rsid w:val="003A7A26"/>
    <w:rsid w:val="003B0526"/>
    <w:rsid w:val="003B08AF"/>
    <w:rsid w:val="003B176E"/>
    <w:rsid w:val="003B3065"/>
    <w:rsid w:val="003B559C"/>
    <w:rsid w:val="003B6C69"/>
    <w:rsid w:val="003B6D60"/>
    <w:rsid w:val="003B7316"/>
    <w:rsid w:val="003C6D72"/>
    <w:rsid w:val="003C6FBC"/>
    <w:rsid w:val="003D16D6"/>
    <w:rsid w:val="003E49CF"/>
    <w:rsid w:val="003E7A40"/>
    <w:rsid w:val="003F0A82"/>
    <w:rsid w:val="003F1153"/>
    <w:rsid w:val="003F45EB"/>
    <w:rsid w:val="00400043"/>
    <w:rsid w:val="004019F6"/>
    <w:rsid w:val="00402C1E"/>
    <w:rsid w:val="00403C5B"/>
    <w:rsid w:val="00407096"/>
    <w:rsid w:val="00410873"/>
    <w:rsid w:val="004176DC"/>
    <w:rsid w:val="00420225"/>
    <w:rsid w:val="00421AA5"/>
    <w:rsid w:val="00421DC1"/>
    <w:rsid w:val="00423D4A"/>
    <w:rsid w:val="00425378"/>
    <w:rsid w:val="00426B2F"/>
    <w:rsid w:val="004316B6"/>
    <w:rsid w:val="00431BAE"/>
    <w:rsid w:val="0043231B"/>
    <w:rsid w:val="0043385B"/>
    <w:rsid w:val="004369BB"/>
    <w:rsid w:val="00443ACD"/>
    <w:rsid w:val="00443D8A"/>
    <w:rsid w:val="00443E7A"/>
    <w:rsid w:val="004460C3"/>
    <w:rsid w:val="00446E36"/>
    <w:rsid w:val="0044764A"/>
    <w:rsid w:val="0045041C"/>
    <w:rsid w:val="004512EA"/>
    <w:rsid w:val="004516E5"/>
    <w:rsid w:val="00455849"/>
    <w:rsid w:val="00457E6F"/>
    <w:rsid w:val="00463E82"/>
    <w:rsid w:val="00465C6B"/>
    <w:rsid w:val="00470BC0"/>
    <w:rsid w:val="00471552"/>
    <w:rsid w:val="00472B5D"/>
    <w:rsid w:val="00475142"/>
    <w:rsid w:val="004800A7"/>
    <w:rsid w:val="00484DFF"/>
    <w:rsid w:val="004853ED"/>
    <w:rsid w:val="00491E3B"/>
    <w:rsid w:val="004926B2"/>
    <w:rsid w:val="004A00DA"/>
    <w:rsid w:val="004A5C89"/>
    <w:rsid w:val="004A6DC4"/>
    <w:rsid w:val="004A78D5"/>
    <w:rsid w:val="004B39F0"/>
    <w:rsid w:val="004C1C52"/>
    <w:rsid w:val="004C21EA"/>
    <w:rsid w:val="004C2C4A"/>
    <w:rsid w:val="004C53DD"/>
    <w:rsid w:val="004C5CA7"/>
    <w:rsid w:val="004C6E87"/>
    <w:rsid w:val="004D0606"/>
    <w:rsid w:val="004D210B"/>
    <w:rsid w:val="004D2784"/>
    <w:rsid w:val="004D4984"/>
    <w:rsid w:val="004E329B"/>
    <w:rsid w:val="004E4AD1"/>
    <w:rsid w:val="004E4C8C"/>
    <w:rsid w:val="004E691A"/>
    <w:rsid w:val="004E7E63"/>
    <w:rsid w:val="004F052A"/>
    <w:rsid w:val="004F1136"/>
    <w:rsid w:val="004F25B2"/>
    <w:rsid w:val="004F335C"/>
    <w:rsid w:val="004F70F6"/>
    <w:rsid w:val="004F73B6"/>
    <w:rsid w:val="005007C6"/>
    <w:rsid w:val="00501A32"/>
    <w:rsid w:val="00502241"/>
    <w:rsid w:val="00503014"/>
    <w:rsid w:val="00503E38"/>
    <w:rsid w:val="00510860"/>
    <w:rsid w:val="00510908"/>
    <w:rsid w:val="0051170A"/>
    <w:rsid w:val="005136B8"/>
    <w:rsid w:val="00513D02"/>
    <w:rsid w:val="00514297"/>
    <w:rsid w:val="00514A00"/>
    <w:rsid w:val="00515698"/>
    <w:rsid w:val="00515A07"/>
    <w:rsid w:val="0052096E"/>
    <w:rsid w:val="00521AC8"/>
    <w:rsid w:val="00522340"/>
    <w:rsid w:val="00522525"/>
    <w:rsid w:val="00522636"/>
    <w:rsid w:val="00523DF8"/>
    <w:rsid w:val="00524C17"/>
    <w:rsid w:val="0052620D"/>
    <w:rsid w:val="00527CFC"/>
    <w:rsid w:val="005301B1"/>
    <w:rsid w:val="0053339F"/>
    <w:rsid w:val="00536D07"/>
    <w:rsid w:val="005429E6"/>
    <w:rsid w:val="005435D8"/>
    <w:rsid w:val="00543A23"/>
    <w:rsid w:val="0054561F"/>
    <w:rsid w:val="00547BA9"/>
    <w:rsid w:val="00552660"/>
    <w:rsid w:val="00554E9B"/>
    <w:rsid w:val="00555349"/>
    <w:rsid w:val="005576AC"/>
    <w:rsid w:val="00560DC6"/>
    <w:rsid w:val="00560F00"/>
    <w:rsid w:val="005653F7"/>
    <w:rsid w:val="00567010"/>
    <w:rsid w:val="0056734E"/>
    <w:rsid w:val="005702B9"/>
    <w:rsid w:val="0057169E"/>
    <w:rsid w:val="0057435C"/>
    <w:rsid w:val="00574427"/>
    <w:rsid w:val="00577E79"/>
    <w:rsid w:val="0058242E"/>
    <w:rsid w:val="0059032C"/>
    <w:rsid w:val="00591835"/>
    <w:rsid w:val="00591F8D"/>
    <w:rsid w:val="005A055E"/>
    <w:rsid w:val="005A1170"/>
    <w:rsid w:val="005A6399"/>
    <w:rsid w:val="005A7763"/>
    <w:rsid w:val="005A7DBD"/>
    <w:rsid w:val="005B0258"/>
    <w:rsid w:val="005B0690"/>
    <w:rsid w:val="005B186F"/>
    <w:rsid w:val="005B2B9B"/>
    <w:rsid w:val="005B3FBB"/>
    <w:rsid w:val="005B58D3"/>
    <w:rsid w:val="005B6FF4"/>
    <w:rsid w:val="005C3266"/>
    <w:rsid w:val="005C4F0A"/>
    <w:rsid w:val="005C71A3"/>
    <w:rsid w:val="005D370D"/>
    <w:rsid w:val="005D3B51"/>
    <w:rsid w:val="005D4BF4"/>
    <w:rsid w:val="005D675A"/>
    <w:rsid w:val="005D6E21"/>
    <w:rsid w:val="005E01B2"/>
    <w:rsid w:val="005E0D36"/>
    <w:rsid w:val="005E1B6C"/>
    <w:rsid w:val="005E53E4"/>
    <w:rsid w:val="005E5A17"/>
    <w:rsid w:val="005E6C6B"/>
    <w:rsid w:val="005F2BC9"/>
    <w:rsid w:val="005F416F"/>
    <w:rsid w:val="005F41CC"/>
    <w:rsid w:val="005F426F"/>
    <w:rsid w:val="005F5718"/>
    <w:rsid w:val="005F572F"/>
    <w:rsid w:val="005F71A5"/>
    <w:rsid w:val="005F73CE"/>
    <w:rsid w:val="0060148E"/>
    <w:rsid w:val="006027C2"/>
    <w:rsid w:val="00602CED"/>
    <w:rsid w:val="00603A6D"/>
    <w:rsid w:val="00605562"/>
    <w:rsid w:val="00606171"/>
    <w:rsid w:val="00607FBE"/>
    <w:rsid w:val="00613E39"/>
    <w:rsid w:val="00614DDC"/>
    <w:rsid w:val="00615497"/>
    <w:rsid w:val="00615F41"/>
    <w:rsid w:val="00615F4E"/>
    <w:rsid w:val="00616289"/>
    <w:rsid w:val="00617BFA"/>
    <w:rsid w:val="006207CA"/>
    <w:rsid w:val="00620D43"/>
    <w:rsid w:val="00621E00"/>
    <w:rsid w:val="00627FB4"/>
    <w:rsid w:val="00630344"/>
    <w:rsid w:val="00630A46"/>
    <w:rsid w:val="00630C12"/>
    <w:rsid w:val="00641493"/>
    <w:rsid w:val="00645313"/>
    <w:rsid w:val="006472F7"/>
    <w:rsid w:val="006477D3"/>
    <w:rsid w:val="00651CE6"/>
    <w:rsid w:val="00652892"/>
    <w:rsid w:val="006534CE"/>
    <w:rsid w:val="00654933"/>
    <w:rsid w:val="00655318"/>
    <w:rsid w:val="0065604A"/>
    <w:rsid w:val="00657C1C"/>
    <w:rsid w:val="00662632"/>
    <w:rsid w:val="006670A7"/>
    <w:rsid w:val="00671598"/>
    <w:rsid w:val="00671EE3"/>
    <w:rsid w:val="006723E6"/>
    <w:rsid w:val="0067414E"/>
    <w:rsid w:val="00675136"/>
    <w:rsid w:val="00675871"/>
    <w:rsid w:val="00675C69"/>
    <w:rsid w:val="00681519"/>
    <w:rsid w:val="0068499E"/>
    <w:rsid w:val="0069221D"/>
    <w:rsid w:val="00692357"/>
    <w:rsid w:val="0069479C"/>
    <w:rsid w:val="0069523D"/>
    <w:rsid w:val="00695C31"/>
    <w:rsid w:val="006A0559"/>
    <w:rsid w:val="006A0DC4"/>
    <w:rsid w:val="006A2813"/>
    <w:rsid w:val="006A3022"/>
    <w:rsid w:val="006A3BE9"/>
    <w:rsid w:val="006B0931"/>
    <w:rsid w:val="006B3AC9"/>
    <w:rsid w:val="006B3F65"/>
    <w:rsid w:val="006B4C5C"/>
    <w:rsid w:val="006C0C50"/>
    <w:rsid w:val="006C45B1"/>
    <w:rsid w:val="006D1A53"/>
    <w:rsid w:val="006D2C39"/>
    <w:rsid w:val="006D4DB7"/>
    <w:rsid w:val="006D5789"/>
    <w:rsid w:val="006D6DFF"/>
    <w:rsid w:val="006D7689"/>
    <w:rsid w:val="006D76A5"/>
    <w:rsid w:val="006E0504"/>
    <w:rsid w:val="006E42B2"/>
    <w:rsid w:val="006E42BF"/>
    <w:rsid w:val="006E454C"/>
    <w:rsid w:val="006E4FD9"/>
    <w:rsid w:val="006E546B"/>
    <w:rsid w:val="006E5C77"/>
    <w:rsid w:val="006E5F8B"/>
    <w:rsid w:val="006E76BE"/>
    <w:rsid w:val="006F54CC"/>
    <w:rsid w:val="00700F78"/>
    <w:rsid w:val="00702E6B"/>
    <w:rsid w:val="00704E59"/>
    <w:rsid w:val="00705730"/>
    <w:rsid w:val="00706A43"/>
    <w:rsid w:val="007104F5"/>
    <w:rsid w:val="00711C24"/>
    <w:rsid w:val="00712ED5"/>
    <w:rsid w:val="00713BE6"/>
    <w:rsid w:val="00714CB7"/>
    <w:rsid w:val="007159A0"/>
    <w:rsid w:val="007179EA"/>
    <w:rsid w:val="00721200"/>
    <w:rsid w:val="007259C2"/>
    <w:rsid w:val="007269C3"/>
    <w:rsid w:val="00731BAE"/>
    <w:rsid w:val="00737315"/>
    <w:rsid w:val="00737350"/>
    <w:rsid w:val="007417F3"/>
    <w:rsid w:val="00746BC1"/>
    <w:rsid w:val="00751BC1"/>
    <w:rsid w:val="00754F97"/>
    <w:rsid w:val="00755E08"/>
    <w:rsid w:val="007566F2"/>
    <w:rsid w:val="00756EB3"/>
    <w:rsid w:val="00757ED6"/>
    <w:rsid w:val="00760BCA"/>
    <w:rsid w:val="00761221"/>
    <w:rsid w:val="007623E6"/>
    <w:rsid w:val="00762740"/>
    <w:rsid w:val="0076282B"/>
    <w:rsid w:val="00763369"/>
    <w:rsid w:val="007648CF"/>
    <w:rsid w:val="007659CC"/>
    <w:rsid w:val="00771DD2"/>
    <w:rsid w:val="00775CE2"/>
    <w:rsid w:val="00776CB1"/>
    <w:rsid w:val="00777850"/>
    <w:rsid w:val="00777FCE"/>
    <w:rsid w:val="0078043C"/>
    <w:rsid w:val="00782302"/>
    <w:rsid w:val="007832A3"/>
    <w:rsid w:val="00783653"/>
    <w:rsid w:val="0078481E"/>
    <w:rsid w:val="0078661C"/>
    <w:rsid w:val="0078772E"/>
    <w:rsid w:val="007923AE"/>
    <w:rsid w:val="00792A03"/>
    <w:rsid w:val="00792C9F"/>
    <w:rsid w:val="007933C5"/>
    <w:rsid w:val="007940FD"/>
    <w:rsid w:val="0079451D"/>
    <w:rsid w:val="00796019"/>
    <w:rsid w:val="007A08B3"/>
    <w:rsid w:val="007A66C0"/>
    <w:rsid w:val="007A7ABB"/>
    <w:rsid w:val="007B0793"/>
    <w:rsid w:val="007B3B25"/>
    <w:rsid w:val="007B3DB2"/>
    <w:rsid w:val="007B4856"/>
    <w:rsid w:val="007B6594"/>
    <w:rsid w:val="007C106D"/>
    <w:rsid w:val="007C131A"/>
    <w:rsid w:val="007C22C0"/>
    <w:rsid w:val="007C25A8"/>
    <w:rsid w:val="007C4E70"/>
    <w:rsid w:val="007C581D"/>
    <w:rsid w:val="007C6AB4"/>
    <w:rsid w:val="007C72C2"/>
    <w:rsid w:val="007C72F0"/>
    <w:rsid w:val="007D022F"/>
    <w:rsid w:val="007D12BA"/>
    <w:rsid w:val="007D1B16"/>
    <w:rsid w:val="007D1DE4"/>
    <w:rsid w:val="007D718C"/>
    <w:rsid w:val="007E220E"/>
    <w:rsid w:val="007E27D0"/>
    <w:rsid w:val="007E2C6D"/>
    <w:rsid w:val="007E402A"/>
    <w:rsid w:val="007E4877"/>
    <w:rsid w:val="007E5754"/>
    <w:rsid w:val="007E7045"/>
    <w:rsid w:val="007F4657"/>
    <w:rsid w:val="007F46B8"/>
    <w:rsid w:val="007F5369"/>
    <w:rsid w:val="007F5DEA"/>
    <w:rsid w:val="007F6AA1"/>
    <w:rsid w:val="007F79F0"/>
    <w:rsid w:val="0080001E"/>
    <w:rsid w:val="008006D7"/>
    <w:rsid w:val="00801C5A"/>
    <w:rsid w:val="00802EC1"/>
    <w:rsid w:val="00803498"/>
    <w:rsid w:val="00805137"/>
    <w:rsid w:val="008053FA"/>
    <w:rsid w:val="00810518"/>
    <w:rsid w:val="0081457C"/>
    <w:rsid w:val="00814B8A"/>
    <w:rsid w:val="00815CA1"/>
    <w:rsid w:val="00815FA0"/>
    <w:rsid w:val="00816396"/>
    <w:rsid w:val="0081709C"/>
    <w:rsid w:val="00823008"/>
    <w:rsid w:val="00823EF5"/>
    <w:rsid w:val="00824B29"/>
    <w:rsid w:val="0083158F"/>
    <w:rsid w:val="008330D7"/>
    <w:rsid w:val="008332E0"/>
    <w:rsid w:val="00833975"/>
    <w:rsid w:val="0084046E"/>
    <w:rsid w:val="00841C7A"/>
    <w:rsid w:val="0084274E"/>
    <w:rsid w:val="008465F7"/>
    <w:rsid w:val="00847EC9"/>
    <w:rsid w:val="00853DA3"/>
    <w:rsid w:val="00857479"/>
    <w:rsid w:val="00860BBC"/>
    <w:rsid w:val="00861561"/>
    <w:rsid w:val="008616F1"/>
    <w:rsid w:val="008627A7"/>
    <w:rsid w:val="00862BAC"/>
    <w:rsid w:val="008648E9"/>
    <w:rsid w:val="00865C75"/>
    <w:rsid w:val="00867A52"/>
    <w:rsid w:val="00871BC2"/>
    <w:rsid w:val="00872C5B"/>
    <w:rsid w:val="00873A8E"/>
    <w:rsid w:val="008751E5"/>
    <w:rsid w:val="00876651"/>
    <w:rsid w:val="00882D42"/>
    <w:rsid w:val="00884A21"/>
    <w:rsid w:val="00890346"/>
    <w:rsid w:val="0089186A"/>
    <w:rsid w:val="00893B16"/>
    <w:rsid w:val="008946CF"/>
    <w:rsid w:val="00896BA1"/>
    <w:rsid w:val="00896D36"/>
    <w:rsid w:val="008A03B4"/>
    <w:rsid w:val="008A0AE9"/>
    <w:rsid w:val="008A709C"/>
    <w:rsid w:val="008B0B80"/>
    <w:rsid w:val="008B1617"/>
    <w:rsid w:val="008B3F86"/>
    <w:rsid w:val="008B4F0E"/>
    <w:rsid w:val="008B622E"/>
    <w:rsid w:val="008B681E"/>
    <w:rsid w:val="008B75F8"/>
    <w:rsid w:val="008C04FC"/>
    <w:rsid w:val="008C14FA"/>
    <w:rsid w:val="008C278F"/>
    <w:rsid w:val="008C5B95"/>
    <w:rsid w:val="008C6706"/>
    <w:rsid w:val="008D00AC"/>
    <w:rsid w:val="008D0E0F"/>
    <w:rsid w:val="008D2EC5"/>
    <w:rsid w:val="008D47C2"/>
    <w:rsid w:val="008D5755"/>
    <w:rsid w:val="008D608A"/>
    <w:rsid w:val="008D6135"/>
    <w:rsid w:val="008D7483"/>
    <w:rsid w:val="008D7BBE"/>
    <w:rsid w:val="008E0B8F"/>
    <w:rsid w:val="008E2B3D"/>
    <w:rsid w:val="008E5932"/>
    <w:rsid w:val="008E6B54"/>
    <w:rsid w:val="008E708F"/>
    <w:rsid w:val="008F0A34"/>
    <w:rsid w:val="008F0BCE"/>
    <w:rsid w:val="008F4FBC"/>
    <w:rsid w:val="008F74DE"/>
    <w:rsid w:val="00901EBD"/>
    <w:rsid w:val="009024B4"/>
    <w:rsid w:val="0090352A"/>
    <w:rsid w:val="009059F1"/>
    <w:rsid w:val="00913577"/>
    <w:rsid w:val="00917311"/>
    <w:rsid w:val="0092041D"/>
    <w:rsid w:val="00921B7D"/>
    <w:rsid w:val="00921F9C"/>
    <w:rsid w:val="00924D7E"/>
    <w:rsid w:val="0092543B"/>
    <w:rsid w:val="00927F3F"/>
    <w:rsid w:val="009326B0"/>
    <w:rsid w:val="00936D4E"/>
    <w:rsid w:val="00937E95"/>
    <w:rsid w:val="009415ED"/>
    <w:rsid w:val="0094205B"/>
    <w:rsid w:val="00942131"/>
    <w:rsid w:val="00942A62"/>
    <w:rsid w:val="009433F1"/>
    <w:rsid w:val="0094422E"/>
    <w:rsid w:val="00944A86"/>
    <w:rsid w:val="00946FC2"/>
    <w:rsid w:val="00951D35"/>
    <w:rsid w:val="00952936"/>
    <w:rsid w:val="00952C3F"/>
    <w:rsid w:val="0095378E"/>
    <w:rsid w:val="00953856"/>
    <w:rsid w:val="0095653E"/>
    <w:rsid w:val="009568F0"/>
    <w:rsid w:val="00961D7D"/>
    <w:rsid w:val="009620A9"/>
    <w:rsid w:val="00962A69"/>
    <w:rsid w:val="00965F60"/>
    <w:rsid w:val="00966220"/>
    <w:rsid w:val="00970811"/>
    <w:rsid w:val="009709A2"/>
    <w:rsid w:val="009709FA"/>
    <w:rsid w:val="0097128A"/>
    <w:rsid w:val="00973733"/>
    <w:rsid w:val="0097451C"/>
    <w:rsid w:val="0097498D"/>
    <w:rsid w:val="00976B69"/>
    <w:rsid w:val="00980563"/>
    <w:rsid w:val="00981D43"/>
    <w:rsid w:val="00982B71"/>
    <w:rsid w:val="009844A1"/>
    <w:rsid w:val="009863EF"/>
    <w:rsid w:val="00987787"/>
    <w:rsid w:val="00990CA9"/>
    <w:rsid w:val="0099164A"/>
    <w:rsid w:val="00992BCD"/>
    <w:rsid w:val="009933B3"/>
    <w:rsid w:val="00993BA2"/>
    <w:rsid w:val="00995A3B"/>
    <w:rsid w:val="00995E1F"/>
    <w:rsid w:val="009976BA"/>
    <w:rsid w:val="009A32E9"/>
    <w:rsid w:val="009A40FE"/>
    <w:rsid w:val="009A4252"/>
    <w:rsid w:val="009A4611"/>
    <w:rsid w:val="009A79D6"/>
    <w:rsid w:val="009B3949"/>
    <w:rsid w:val="009B4770"/>
    <w:rsid w:val="009B6620"/>
    <w:rsid w:val="009B6B20"/>
    <w:rsid w:val="009B7985"/>
    <w:rsid w:val="009B7B7A"/>
    <w:rsid w:val="009C17E4"/>
    <w:rsid w:val="009C1D27"/>
    <w:rsid w:val="009C227D"/>
    <w:rsid w:val="009C429E"/>
    <w:rsid w:val="009C6E32"/>
    <w:rsid w:val="009C7CEA"/>
    <w:rsid w:val="009D18A4"/>
    <w:rsid w:val="009D24E0"/>
    <w:rsid w:val="009D251C"/>
    <w:rsid w:val="009D323C"/>
    <w:rsid w:val="009E5793"/>
    <w:rsid w:val="009E6FAC"/>
    <w:rsid w:val="009F0831"/>
    <w:rsid w:val="009F3841"/>
    <w:rsid w:val="009F4383"/>
    <w:rsid w:val="009F704A"/>
    <w:rsid w:val="00A00000"/>
    <w:rsid w:val="00A00358"/>
    <w:rsid w:val="00A04960"/>
    <w:rsid w:val="00A07F1F"/>
    <w:rsid w:val="00A1061A"/>
    <w:rsid w:val="00A1082E"/>
    <w:rsid w:val="00A11C28"/>
    <w:rsid w:val="00A14E89"/>
    <w:rsid w:val="00A24591"/>
    <w:rsid w:val="00A25516"/>
    <w:rsid w:val="00A2651E"/>
    <w:rsid w:val="00A30A8C"/>
    <w:rsid w:val="00A34D40"/>
    <w:rsid w:val="00A359BD"/>
    <w:rsid w:val="00A35AD8"/>
    <w:rsid w:val="00A40A49"/>
    <w:rsid w:val="00A43F31"/>
    <w:rsid w:val="00A4512D"/>
    <w:rsid w:val="00A4667D"/>
    <w:rsid w:val="00A46681"/>
    <w:rsid w:val="00A46E13"/>
    <w:rsid w:val="00A506D4"/>
    <w:rsid w:val="00A51273"/>
    <w:rsid w:val="00A52D3D"/>
    <w:rsid w:val="00A52EF4"/>
    <w:rsid w:val="00A53AFD"/>
    <w:rsid w:val="00A55534"/>
    <w:rsid w:val="00A6013B"/>
    <w:rsid w:val="00A61E4F"/>
    <w:rsid w:val="00A64A4F"/>
    <w:rsid w:val="00A658BA"/>
    <w:rsid w:val="00A659FB"/>
    <w:rsid w:val="00A665D8"/>
    <w:rsid w:val="00A7000B"/>
    <w:rsid w:val="00A70AC6"/>
    <w:rsid w:val="00A7144A"/>
    <w:rsid w:val="00A75719"/>
    <w:rsid w:val="00A767B5"/>
    <w:rsid w:val="00A77675"/>
    <w:rsid w:val="00A8087E"/>
    <w:rsid w:val="00A925BE"/>
    <w:rsid w:val="00A93D50"/>
    <w:rsid w:val="00A94869"/>
    <w:rsid w:val="00A962D2"/>
    <w:rsid w:val="00A96D6F"/>
    <w:rsid w:val="00AA16E2"/>
    <w:rsid w:val="00AA3289"/>
    <w:rsid w:val="00AA4599"/>
    <w:rsid w:val="00AA4D66"/>
    <w:rsid w:val="00AA6293"/>
    <w:rsid w:val="00AA7B6C"/>
    <w:rsid w:val="00AB03A2"/>
    <w:rsid w:val="00AB2D0C"/>
    <w:rsid w:val="00AB35A7"/>
    <w:rsid w:val="00AC09A1"/>
    <w:rsid w:val="00AC3858"/>
    <w:rsid w:val="00AC600E"/>
    <w:rsid w:val="00AD0BFF"/>
    <w:rsid w:val="00AD1B77"/>
    <w:rsid w:val="00AD2CA1"/>
    <w:rsid w:val="00AE081A"/>
    <w:rsid w:val="00AE2F2F"/>
    <w:rsid w:val="00AE6F13"/>
    <w:rsid w:val="00AF0F22"/>
    <w:rsid w:val="00AF0F7D"/>
    <w:rsid w:val="00AF1844"/>
    <w:rsid w:val="00AF24B5"/>
    <w:rsid w:val="00AF2C8B"/>
    <w:rsid w:val="00B0186A"/>
    <w:rsid w:val="00B021D2"/>
    <w:rsid w:val="00B042C6"/>
    <w:rsid w:val="00B04DC1"/>
    <w:rsid w:val="00B04FF6"/>
    <w:rsid w:val="00B069AD"/>
    <w:rsid w:val="00B072E2"/>
    <w:rsid w:val="00B1092E"/>
    <w:rsid w:val="00B15649"/>
    <w:rsid w:val="00B25F78"/>
    <w:rsid w:val="00B26F85"/>
    <w:rsid w:val="00B30304"/>
    <w:rsid w:val="00B321B2"/>
    <w:rsid w:val="00B334E7"/>
    <w:rsid w:val="00B410EE"/>
    <w:rsid w:val="00B441E8"/>
    <w:rsid w:val="00B4620E"/>
    <w:rsid w:val="00B479AC"/>
    <w:rsid w:val="00B47E44"/>
    <w:rsid w:val="00B47F7D"/>
    <w:rsid w:val="00B51DF8"/>
    <w:rsid w:val="00B535AD"/>
    <w:rsid w:val="00B54FFD"/>
    <w:rsid w:val="00B621FF"/>
    <w:rsid w:val="00B62CB1"/>
    <w:rsid w:val="00B654EE"/>
    <w:rsid w:val="00B66F3E"/>
    <w:rsid w:val="00B709D2"/>
    <w:rsid w:val="00B70B7E"/>
    <w:rsid w:val="00B7136D"/>
    <w:rsid w:val="00B71EF8"/>
    <w:rsid w:val="00B726C5"/>
    <w:rsid w:val="00B73333"/>
    <w:rsid w:val="00B735B0"/>
    <w:rsid w:val="00B73747"/>
    <w:rsid w:val="00B74543"/>
    <w:rsid w:val="00B807CA"/>
    <w:rsid w:val="00B84085"/>
    <w:rsid w:val="00B84B9E"/>
    <w:rsid w:val="00B86FE4"/>
    <w:rsid w:val="00B87F10"/>
    <w:rsid w:val="00B90D5E"/>
    <w:rsid w:val="00B9133E"/>
    <w:rsid w:val="00B91619"/>
    <w:rsid w:val="00B93695"/>
    <w:rsid w:val="00B94F05"/>
    <w:rsid w:val="00B96471"/>
    <w:rsid w:val="00B97A3F"/>
    <w:rsid w:val="00BA070E"/>
    <w:rsid w:val="00BA0EEF"/>
    <w:rsid w:val="00BA1EE1"/>
    <w:rsid w:val="00BA3CB6"/>
    <w:rsid w:val="00BA67D5"/>
    <w:rsid w:val="00BA7F57"/>
    <w:rsid w:val="00BB18FA"/>
    <w:rsid w:val="00BB3626"/>
    <w:rsid w:val="00BB3D24"/>
    <w:rsid w:val="00BB528B"/>
    <w:rsid w:val="00BB580D"/>
    <w:rsid w:val="00BB60EF"/>
    <w:rsid w:val="00BB7186"/>
    <w:rsid w:val="00BB79D5"/>
    <w:rsid w:val="00BC2C6D"/>
    <w:rsid w:val="00BC2F9B"/>
    <w:rsid w:val="00BC4AB5"/>
    <w:rsid w:val="00BD14FD"/>
    <w:rsid w:val="00BD48FA"/>
    <w:rsid w:val="00BE07C2"/>
    <w:rsid w:val="00BE1560"/>
    <w:rsid w:val="00BE232F"/>
    <w:rsid w:val="00BE27F5"/>
    <w:rsid w:val="00BE6B4A"/>
    <w:rsid w:val="00BF05D1"/>
    <w:rsid w:val="00BF3EBF"/>
    <w:rsid w:val="00BF423C"/>
    <w:rsid w:val="00BF5894"/>
    <w:rsid w:val="00BF6611"/>
    <w:rsid w:val="00BF7938"/>
    <w:rsid w:val="00C0044D"/>
    <w:rsid w:val="00C0159B"/>
    <w:rsid w:val="00C03688"/>
    <w:rsid w:val="00C047EC"/>
    <w:rsid w:val="00C04EF9"/>
    <w:rsid w:val="00C07DB3"/>
    <w:rsid w:val="00C10C78"/>
    <w:rsid w:val="00C11D9F"/>
    <w:rsid w:val="00C12194"/>
    <w:rsid w:val="00C15A61"/>
    <w:rsid w:val="00C207A2"/>
    <w:rsid w:val="00C24D3E"/>
    <w:rsid w:val="00C26BE9"/>
    <w:rsid w:val="00C27A3F"/>
    <w:rsid w:val="00C31C1F"/>
    <w:rsid w:val="00C33C6B"/>
    <w:rsid w:val="00C35071"/>
    <w:rsid w:val="00C35798"/>
    <w:rsid w:val="00C3639A"/>
    <w:rsid w:val="00C36BDD"/>
    <w:rsid w:val="00C4004E"/>
    <w:rsid w:val="00C4198D"/>
    <w:rsid w:val="00C41F3C"/>
    <w:rsid w:val="00C4571E"/>
    <w:rsid w:val="00C46CAA"/>
    <w:rsid w:val="00C47518"/>
    <w:rsid w:val="00C4757E"/>
    <w:rsid w:val="00C47C44"/>
    <w:rsid w:val="00C500C5"/>
    <w:rsid w:val="00C5089B"/>
    <w:rsid w:val="00C50A5E"/>
    <w:rsid w:val="00C51AE5"/>
    <w:rsid w:val="00C53BAA"/>
    <w:rsid w:val="00C542FF"/>
    <w:rsid w:val="00C57BE6"/>
    <w:rsid w:val="00C6533C"/>
    <w:rsid w:val="00C65DE8"/>
    <w:rsid w:val="00C66354"/>
    <w:rsid w:val="00C71D58"/>
    <w:rsid w:val="00C72A8E"/>
    <w:rsid w:val="00C7706A"/>
    <w:rsid w:val="00C77B18"/>
    <w:rsid w:val="00C80A4D"/>
    <w:rsid w:val="00C843DD"/>
    <w:rsid w:val="00C86637"/>
    <w:rsid w:val="00C90352"/>
    <w:rsid w:val="00C906E4"/>
    <w:rsid w:val="00C92667"/>
    <w:rsid w:val="00C95398"/>
    <w:rsid w:val="00C965CD"/>
    <w:rsid w:val="00C97524"/>
    <w:rsid w:val="00C97833"/>
    <w:rsid w:val="00CA2340"/>
    <w:rsid w:val="00CA3482"/>
    <w:rsid w:val="00CA35E7"/>
    <w:rsid w:val="00CA704F"/>
    <w:rsid w:val="00CB077A"/>
    <w:rsid w:val="00CB0FE2"/>
    <w:rsid w:val="00CB1C19"/>
    <w:rsid w:val="00CB5E88"/>
    <w:rsid w:val="00CB73F1"/>
    <w:rsid w:val="00CC2BA7"/>
    <w:rsid w:val="00CC473E"/>
    <w:rsid w:val="00CC50A2"/>
    <w:rsid w:val="00CC5C2D"/>
    <w:rsid w:val="00CC6F08"/>
    <w:rsid w:val="00CC722F"/>
    <w:rsid w:val="00CD0BA7"/>
    <w:rsid w:val="00CD14F1"/>
    <w:rsid w:val="00CD1EEB"/>
    <w:rsid w:val="00CD1F08"/>
    <w:rsid w:val="00CD291D"/>
    <w:rsid w:val="00CD3A1D"/>
    <w:rsid w:val="00CD591E"/>
    <w:rsid w:val="00CD63D8"/>
    <w:rsid w:val="00CE2485"/>
    <w:rsid w:val="00CE2FBB"/>
    <w:rsid w:val="00CE7CCF"/>
    <w:rsid w:val="00CF006E"/>
    <w:rsid w:val="00CF1331"/>
    <w:rsid w:val="00CF70EA"/>
    <w:rsid w:val="00CF724B"/>
    <w:rsid w:val="00CF785D"/>
    <w:rsid w:val="00D00D53"/>
    <w:rsid w:val="00D0197B"/>
    <w:rsid w:val="00D02090"/>
    <w:rsid w:val="00D03347"/>
    <w:rsid w:val="00D070FF"/>
    <w:rsid w:val="00D07F7D"/>
    <w:rsid w:val="00D1023F"/>
    <w:rsid w:val="00D1052A"/>
    <w:rsid w:val="00D116D2"/>
    <w:rsid w:val="00D11E28"/>
    <w:rsid w:val="00D12207"/>
    <w:rsid w:val="00D124A7"/>
    <w:rsid w:val="00D146E9"/>
    <w:rsid w:val="00D148F1"/>
    <w:rsid w:val="00D16D69"/>
    <w:rsid w:val="00D1707C"/>
    <w:rsid w:val="00D2118C"/>
    <w:rsid w:val="00D219BD"/>
    <w:rsid w:val="00D236BF"/>
    <w:rsid w:val="00D245AE"/>
    <w:rsid w:val="00D2497E"/>
    <w:rsid w:val="00D25BC3"/>
    <w:rsid w:val="00D25FD7"/>
    <w:rsid w:val="00D27E83"/>
    <w:rsid w:val="00D36C0A"/>
    <w:rsid w:val="00D371FA"/>
    <w:rsid w:val="00D40501"/>
    <w:rsid w:val="00D40989"/>
    <w:rsid w:val="00D40BA9"/>
    <w:rsid w:val="00D40D20"/>
    <w:rsid w:val="00D425FD"/>
    <w:rsid w:val="00D46B00"/>
    <w:rsid w:val="00D501CD"/>
    <w:rsid w:val="00D5071A"/>
    <w:rsid w:val="00D51794"/>
    <w:rsid w:val="00D52999"/>
    <w:rsid w:val="00D532AF"/>
    <w:rsid w:val="00D55D5A"/>
    <w:rsid w:val="00D616C5"/>
    <w:rsid w:val="00D625CD"/>
    <w:rsid w:val="00D65AD9"/>
    <w:rsid w:val="00D72512"/>
    <w:rsid w:val="00D74545"/>
    <w:rsid w:val="00D76142"/>
    <w:rsid w:val="00D761F2"/>
    <w:rsid w:val="00D762C2"/>
    <w:rsid w:val="00D8047B"/>
    <w:rsid w:val="00D80623"/>
    <w:rsid w:val="00D80C7C"/>
    <w:rsid w:val="00D81C28"/>
    <w:rsid w:val="00D824FD"/>
    <w:rsid w:val="00D85533"/>
    <w:rsid w:val="00D857DD"/>
    <w:rsid w:val="00D8790D"/>
    <w:rsid w:val="00D906D5"/>
    <w:rsid w:val="00D91F95"/>
    <w:rsid w:val="00D92279"/>
    <w:rsid w:val="00D935E6"/>
    <w:rsid w:val="00DA147C"/>
    <w:rsid w:val="00DA16DA"/>
    <w:rsid w:val="00DA25A5"/>
    <w:rsid w:val="00DA49A4"/>
    <w:rsid w:val="00DB16BE"/>
    <w:rsid w:val="00DB1AEA"/>
    <w:rsid w:val="00DB2348"/>
    <w:rsid w:val="00DB2FEB"/>
    <w:rsid w:val="00DB641F"/>
    <w:rsid w:val="00DC4FDF"/>
    <w:rsid w:val="00DC52DA"/>
    <w:rsid w:val="00DC6D9C"/>
    <w:rsid w:val="00DC7E55"/>
    <w:rsid w:val="00DD2B2E"/>
    <w:rsid w:val="00DD69E0"/>
    <w:rsid w:val="00DD71A7"/>
    <w:rsid w:val="00DE0E49"/>
    <w:rsid w:val="00DE15BE"/>
    <w:rsid w:val="00DE4F58"/>
    <w:rsid w:val="00DE5485"/>
    <w:rsid w:val="00DF23A8"/>
    <w:rsid w:val="00DF26B7"/>
    <w:rsid w:val="00DF2923"/>
    <w:rsid w:val="00DF42DD"/>
    <w:rsid w:val="00DF496D"/>
    <w:rsid w:val="00DF5A1A"/>
    <w:rsid w:val="00DF6121"/>
    <w:rsid w:val="00DF632C"/>
    <w:rsid w:val="00DF6A9C"/>
    <w:rsid w:val="00DF7B19"/>
    <w:rsid w:val="00DF7D44"/>
    <w:rsid w:val="00E039EA"/>
    <w:rsid w:val="00E03F72"/>
    <w:rsid w:val="00E042FF"/>
    <w:rsid w:val="00E1284C"/>
    <w:rsid w:val="00E14EF9"/>
    <w:rsid w:val="00E1660C"/>
    <w:rsid w:val="00E177B4"/>
    <w:rsid w:val="00E20FFD"/>
    <w:rsid w:val="00E25DA8"/>
    <w:rsid w:val="00E26B30"/>
    <w:rsid w:val="00E27040"/>
    <w:rsid w:val="00E2712A"/>
    <w:rsid w:val="00E3078F"/>
    <w:rsid w:val="00E32D72"/>
    <w:rsid w:val="00E33AE0"/>
    <w:rsid w:val="00E36F1B"/>
    <w:rsid w:val="00E403A2"/>
    <w:rsid w:val="00E40C8D"/>
    <w:rsid w:val="00E4259E"/>
    <w:rsid w:val="00E42870"/>
    <w:rsid w:val="00E42886"/>
    <w:rsid w:val="00E44507"/>
    <w:rsid w:val="00E4657A"/>
    <w:rsid w:val="00E47B89"/>
    <w:rsid w:val="00E529DE"/>
    <w:rsid w:val="00E53ED6"/>
    <w:rsid w:val="00E5501F"/>
    <w:rsid w:val="00E55272"/>
    <w:rsid w:val="00E558BD"/>
    <w:rsid w:val="00E573EA"/>
    <w:rsid w:val="00E57826"/>
    <w:rsid w:val="00E61E32"/>
    <w:rsid w:val="00E627C5"/>
    <w:rsid w:val="00E627FE"/>
    <w:rsid w:val="00E63EA9"/>
    <w:rsid w:val="00E643ED"/>
    <w:rsid w:val="00E71310"/>
    <w:rsid w:val="00E72CCD"/>
    <w:rsid w:val="00E74F61"/>
    <w:rsid w:val="00E76EA0"/>
    <w:rsid w:val="00E76F69"/>
    <w:rsid w:val="00E808CF"/>
    <w:rsid w:val="00E81542"/>
    <w:rsid w:val="00E828A7"/>
    <w:rsid w:val="00E845AB"/>
    <w:rsid w:val="00E84825"/>
    <w:rsid w:val="00E85E39"/>
    <w:rsid w:val="00E863C0"/>
    <w:rsid w:val="00E87F95"/>
    <w:rsid w:val="00E9688B"/>
    <w:rsid w:val="00EA0844"/>
    <w:rsid w:val="00EA168C"/>
    <w:rsid w:val="00EA22CD"/>
    <w:rsid w:val="00EA446B"/>
    <w:rsid w:val="00EA7B46"/>
    <w:rsid w:val="00EA7BB3"/>
    <w:rsid w:val="00EB0B97"/>
    <w:rsid w:val="00EB18E3"/>
    <w:rsid w:val="00EB1925"/>
    <w:rsid w:val="00EB497C"/>
    <w:rsid w:val="00EB6B30"/>
    <w:rsid w:val="00EC0EC1"/>
    <w:rsid w:val="00EC1BA0"/>
    <w:rsid w:val="00EC2D54"/>
    <w:rsid w:val="00EC32F5"/>
    <w:rsid w:val="00EC5280"/>
    <w:rsid w:val="00EC56D9"/>
    <w:rsid w:val="00EC5FFE"/>
    <w:rsid w:val="00ED1AC1"/>
    <w:rsid w:val="00ED5A77"/>
    <w:rsid w:val="00EE0961"/>
    <w:rsid w:val="00EE0CA5"/>
    <w:rsid w:val="00EE2ADC"/>
    <w:rsid w:val="00EE4D83"/>
    <w:rsid w:val="00EE73CA"/>
    <w:rsid w:val="00EE7C16"/>
    <w:rsid w:val="00EF2B93"/>
    <w:rsid w:val="00EF580A"/>
    <w:rsid w:val="00EF6799"/>
    <w:rsid w:val="00F013B9"/>
    <w:rsid w:val="00F018B1"/>
    <w:rsid w:val="00F03047"/>
    <w:rsid w:val="00F03594"/>
    <w:rsid w:val="00F04123"/>
    <w:rsid w:val="00F14605"/>
    <w:rsid w:val="00F158E6"/>
    <w:rsid w:val="00F16FB0"/>
    <w:rsid w:val="00F17095"/>
    <w:rsid w:val="00F17861"/>
    <w:rsid w:val="00F217F5"/>
    <w:rsid w:val="00F22535"/>
    <w:rsid w:val="00F33183"/>
    <w:rsid w:val="00F35558"/>
    <w:rsid w:val="00F36E97"/>
    <w:rsid w:val="00F3722F"/>
    <w:rsid w:val="00F37DCA"/>
    <w:rsid w:val="00F4095B"/>
    <w:rsid w:val="00F41E45"/>
    <w:rsid w:val="00F45EFA"/>
    <w:rsid w:val="00F5011E"/>
    <w:rsid w:val="00F50ED5"/>
    <w:rsid w:val="00F51A65"/>
    <w:rsid w:val="00F51EDA"/>
    <w:rsid w:val="00F526BF"/>
    <w:rsid w:val="00F5420F"/>
    <w:rsid w:val="00F57405"/>
    <w:rsid w:val="00F61FE2"/>
    <w:rsid w:val="00F63485"/>
    <w:rsid w:val="00F66E0B"/>
    <w:rsid w:val="00F73034"/>
    <w:rsid w:val="00F733A9"/>
    <w:rsid w:val="00F73D8F"/>
    <w:rsid w:val="00F75BB4"/>
    <w:rsid w:val="00F764B5"/>
    <w:rsid w:val="00F82907"/>
    <w:rsid w:val="00F84F8C"/>
    <w:rsid w:val="00F8556E"/>
    <w:rsid w:val="00F906D5"/>
    <w:rsid w:val="00F908D9"/>
    <w:rsid w:val="00F910C0"/>
    <w:rsid w:val="00F912F5"/>
    <w:rsid w:val="00F925C8"/>
    <w:rsid w:val="00F93B1D"/>
    <w:rsid w:val="00F95D01"/>
    <w:rsid w:val="00F96F6A"/>
    <w:rsid w:val="00FA15C4"/>
    <w:rsid w:val="00FA2E81"/>
    <w:rsid w:val="00FA37C9"/>
    <w:rsid w:val="00FA7979"/>
    <w:rsid w:val="00FA7EAB"/>
    <w:rsid w:val="00FB1ADA"/>
    <w:rsid w:val="00FB2D57"/>
    <w:rsid w:val="00FB4D94"/>
    <w:rsid w:val="00FB6E62"/>
    <w:rsid w:val="00FB7F74"/>
    <w:rsid w:val="00FC4668"/>
    <w:rsid w:val="00FC50F3"/>
    <w:rsid w:val="00FC5AE6"/>
    <w:rsid w:val="00FD1673"/>
    <w:rsid w:val="00FD7ACA"/>
    <w:rsid w:val="00FE199E"/>
    <w:rsid w:val="00FE2AED"/>
    <w:rsid w:val="00FE355D"/>
    <w:rsid w:val="00FE40C2"/>
    <w:rsid w:val="00FF091E"/>
    <w:rsid w:val="00FF24F0"/>
    <w:rsid w:val="00FF4611"/>
    <w:rsid w:val="00FF4BF0"/>
    <w:rsid w:val="012F5F9F"/>
    <w:rsid w:val="01C7267B"/>
    <w:rsid w:val="03B10EED"/>
    <w:rsid w:val="044A445C"/>
    <w:rsid w:val="04531644"/>
    <w:rsid w:val="04AF2852"/>
    <w:rsid w:val="06510766"/>
    <w:rsid w:val="07E87674"/>
    <w:rsid w:val="08764D56"/>
    <w:rsid w:val="08CB5B75"/>
    <w:rsid w:val="0966767D"/>
    <w:rsid w:val="0E443054"/>
    <w:rsid w:val="0EE7610B"/>
    <w:rsid w:val="0F2440B1"/>
    <w:rsid w:val="0F2C7FC2"/>
    <w:rsid w:val="0F8B118C"/>
    <w:rsid w:val="10067CF4"/>
    <w:rsid w:val="11E31C9A"/>
    <w:rsid w:val="11EB7CC0"/>
    <w:rsid w:val="140E217F"/>
    <w:rsid w:val="149D101A"/>
    <w:rsid w:val="15315537"/>
    <w:rsid w:val="173E7464"/>
    <w:rsid w:val="178209FA"/>
    <w:rsid w:val="18243F2C"/>
    <w:rsid w:val="19072812"/>
    <w:rsid w:val="1D3B0295"/>
    <w:rsid w:val="1DD43247"/>
    <w:rsid w:val="1E1B68E2"/>
    <w:rsid w:val="1E562965"/>
    <w:rsid w:val="1E7C6B5E"/>
    <w:rsid w:val="1F7B3C74"/>
    <w:rsid w:val="1F7D3338"/>
    <w:rsid w:val="207D0894"/>
    <w:rsid w:val="20BA2413"/>
    <w:rsid w:val="215D23A7"/>
    <w:rsid w:val="216B2BCB"/>
    <w:rsid w:val="22ED2485"/>
    <w:rsid w:val="250F6EA1"/>
    <w:rsid w:val="2691602A"/>
    <w:rsid w:val="27327868"/>
    <w:rsid w:val="273A388F"/>
    <w:rsid w:val="27C94148"/>
    <w:rsid w:val="28100259"/>
    <w:rsid w:val="293A6180"/>
    <w:rsid w:val="2A0B485C"/>
    <w:rsid w:val="2AC4036E"/>
    <w:rsid w:val="2BAE3DE1"/>
    <w:rsid w:val="2DBD655D"/>
    <w:rsid w:val="2ED51532"/>
    <w:rsid w:val="2F943CB4"/>
    <w:rsid w:val="304009AA"/>
    <w:rsid w:val="30AE4FD7"/>
    <w:rsid w:val="30FA526C"/>
    <w:rsid w:val="31254D7E"/>
    <w:rsid w:val="316118F5"/>
    <w:rsid w:val="325B0075"/>
    <w:rsid w:val="33801E6E"/>
    <w:rsid w:val="351F1D09"/>
    <w:rsid w:val="366C59F2"/>
    <w:rsid w:val="378E7F1E"/>
    <w:rsid w:val="37C753D5"/>
    <w:rsid w:val="39C51778"/>
    <w:rsid w:val="3B3E54A0"/>
    <w:rsid w:val="3B60159B"/>
    <w:rsid w:val="3B712735"/>
    <w:rsid w:val="3B851508"/>
    <w:rsid w:val="3D220665"/>
    <w:rsid w:val="3E9527A5"/>
    <w:rsid w:val="414A625F"/>
    <w:rsid w:val="41D85470"/>
    <w:rsid w:val="41E373D1"/>
    <w:rsid w:val="43010842"/>
    <w:rsid w:val="43D0713D"/>
    <w:rsid w:val="44DC7851"/>
    <w:rsid w:val="45C97E89"/>
    <w:rsid w:val="47613FA5"/>
    <w:rsid w:val="48505410"/>
    <w:rsid w:val="485225D7"/>
    <w:rsid w:val="493D7758"/>
    <w:rsid w:val="49D43CA5"/>
    <w:rsid w:val="49DD7956"/>
    <w:rsid w:val="49F20A4C"/>
    <w:rsid w:val="4A373B8C"/>
    <w:rsid w:val="4AAB50DC"/>
    <w:rsid w:val="4C856040"/>
    <w:rsid w:val="4D754306"/>
    <w:rsid w:val="4D8B6291"/>
    <w:rsid w:val="515B6286"/>
    <w:rsid w:val="52155740"/>
    <w:rsid w:val="526E7374"/>
    <w:rsid w:val="53852A35"/>
    <w:rsid w:val="58E660B8"/>
    <w:rsid w:val="59394C9D"/>
    <w:rsid w:val="5A1D03B4"/>
    <w:rsid w:val="5BCE0EB7"/>
    <w:rsid w:val="5D047455"/>
    <w:rsid w:val="5D35686C"/>
    <w:rsid w:val="5DCB732A"/>
    <w:rsid w:val="5EC22920"/>
    <w:rsid w:val="5F9A651F"/>
    <w:rsid w:val="61905107"/>
    <w:rsid w:val="631C6836"/>
    <w:rsid w:val="632E1F4B"/>
    <w:rsid w:val="639E6A16"/>
    <w:rsid w:val="66356906"/>
    <w:rsid w:val="66E601C5"/>
    <w:rsid w:val="67702693"/>
    <w:rsid w:val="6B701F5B"/>
    <w:rsid w:val="6D634021"/>
    <w:rsid w:val="6E943544"/>
    <w:rsid w:val="6F327AA9"/>
    <w:rsid w:val="6F5558EE"/>
    <w:rsid w:val="6F6B5156"/>
    <w:rsid w:val="6FD00588"/>
    <w:rsid w:val="70CB5279"/>
    <w:rsid w:val="713341C6"/>
    <w:rsid w:val="71917E38"/>
    <w:rsid w:val="71B93FF4"/>
    <w:rsid w:val="75091676"/>
    <w:rsid w:val="769B0279"/>
    <w:rsid w:val="76D53514"/>
    <w:rsid w:val="786A41B8"/>
    <w:rsid w:val="78CB2C6B"/>
    <w:rsid w:val="79A55374"/>
    <w:rsid w:val="79DA4959"/>
    <w:rsid w:val="7A6E2F7F"/>
    <w:rsid w:val="7AA370B8"/>
    <w:rsid w:val="7AE144FC"/>
    <w:rsid w:val="7AFD25D0"/>
    <w:rsid w:val="7B8A790F"/>
    <w:rsid w:val="7BFB0769"/>
    <w:rsid w:val="7C9E2CD1"/>
    <w:rsid w:val="7CF36E72"/>
    <w:rsid w:val="7D1769B3"/>
    <w:rsid w:val="7D1B0B67"/>
    <w:rsid w:val="7D676F18"/>
    <w:rsid w:val="7DF92554"/>
    <w:rsid w:val="7E993562"/>
    <w:rsid w:val="7F373059"/>
    <w:rsid w:val="7F93221A"/>
    <w:rsid w:val="7FAD18EB"/>
    <w:rsid w:val="7FFE528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nhideWhenUsed="0" w:uiPriority="0" w:semiHidden="0" w:name="Body Text First Indent"/>
    <w:lsdException w:uiPriority="99" w:name="Body Text First Indent 2"/>
    <w:lsdException w:uiPriority="99" w:name="Note Heading"/>
    <w:lsdException w:qFormat="1" w:unhideWhenUsed="0" w:uiPriority="0" w:semiHidden="0"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qFormat="1" w:uiPriority="99" w:semiHidden="0"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200" w:firstLineChars="200"/>
      <w:jc w:val="both"/>
    </w:pPr>
    <w:rPr>
      <w:rFonts w:ascii="Times New Roman" w:hAnsi="Times New Roman" w:eastAsia="宋体" w:cstheme="minorBidi"/>
      <w:kern w:val="2"/>
      <w:sz w:val="24"/>
      <w:szCs w:val="22"/>
      <w:lang w:val="en-US" w:eastAsia="zh-CN" w:bidi="ar-SA"/>
    </w:rPr>
  </w:style>
  <w:style w:type="paragraph" w:styleId="2">
    <w:name w:val="heading 1"/>
    <w:basedOn w:val="1"/>
    <w:next w:val="1"/>
    <w:link w:val="27"/>
    <w:qFormat/>
    <w:uiPriority w:val="9"/>
    <w:pPr>
      <w:keepNext/>
      <w:keepLines/>
      <w:numPr>
        <w:ilvl w:val="0"/>
        <w:numId w:val="1"/>
      </w:numPr>
      <w:adjustRightInd w:val="0"/>
      <w:snapToGrid w:val="0"/>
      <w:ind w:firstLine="0" w:firstLineChars="0"/>
      <w:outlineLvl w:val="0"/>
    </w:pPr>
    <w:rPr>
      <w:b/>
      <w:bCs/>
      <w:kern w:val="44"/>
      <w:sz w:val="30"/>
      <w:szCs w:val="44"/>
    </w:rPr>
  </w:style>
  <w:style w:type="paragraph" w:styleId="3">
    <w:name w:val="heading 2"/>
    <w:basedOn w:val="1"/>
    <w:next w:val="1"/>
    <w:link w:val="28"/>
    <w:unhideWhenUsed/>
    <w:qFormat/>
    <w:uiPriority w:val="9"/>
    <w:pPr>
      <w:keepNext/>
      <w:keepLines/>
      <w:numPr>
        <w:ilvl w:val="1"/>
        <w:numId w:val="1"/>
      </w:numPr>
      <w:adjustRightInd w:val="0"/>
      <w:snapToGrid w:val="0"/>
      <w:ind w:left="0" w:firstLine="0" w:firstLineChars="0"/>
      <w:outlineLvl w:val="1"/>
    </w:pPr>
    <w:rPr>
      <w:rFonts w:cstheme="majorBidi"/>
      <w:b/>
      <w:bCs/>
      <w:sz w:val="28"/>
      <w:szCs w:val="32"/>
    </w:rPr>
  </w:style>
  <w:style w:type="paragraph" w:styleId="4">
    <w:name w:val="heading 3"/>
    <w:basedOn w:val="1"/>
    <w:next w:val="1"/>
    <w:link w:val="29"/>
    <w:unhideWhenUsed/>
    <w:qFormat/>
    <w:uiPriority w:val="9"/>
    <w:pPr>
      <w:keepNext/>
      <w:keepLines/>
      <w:numPr>
        <w:ilvl w:val="2"/>
        <w:numId w:val="1"/>
      </w:numPr>
      <w:spacing w:before="60" w:after="60"/>
      <w:ind w:left="0" w:firstLine="0" w:firstLineChars="0"/>
      <w:outlineLvl w:val="2"/>
    </w:pPr>
    <w:rPr>
      <w:b/>
      <w:bCs/>
      <w:sz w:val="28"/>
      <w:szCs w:val="32"/>
    </w:rPr>
  </w:style>
  <w:style w:type="character" w:default="1" w:styleId="21">
    <w:name w:val="Default Paragraph Font"/>
    <w:semiHidden/>
    <w:unhideWhenUsed/>
    <w:qFormat/>
    <w:uiPriority w:val="1"/>
  </w:style>
  <w:style w:type="table" w:default="1" w:styleId="24">
    <w:name w:val="Normal Table"/>
    <w:semiHidden/>
    <w:unhideWhenUsed/>
    <w:qFormat/>
    <w:uiPriority w:val="99"/>
    <w:tblPr>
      <w:tblLayout w:type="fixed"/>
      <w:tblCellMar>
        <w:top w:w="0" w:type="dxa"/>
        <w:left w:w="108" w:type="dxa"/>
        <w:bottom w:w="0" w:type="dxa"/>
        <w:right w:w="108" w:type="dxa"/>
      </w:tblCellMar>
    </w:tblPr>
  </w:style>
  <w:style w:type="paragraph" w:styleId="5">
    <w:name w:val="Normal Indent"/>
    <w:basedOn w:val="1"/>
    <w:qFormat/>
    <w:uiPriority w:val="0"/>
    <w:pPr>
      <w:spacing w:line="240" w:lineRule="auto"/>
      <w:ind w:firstLine="420"/>
    </w:pPr>
    <w:rPr>
      <w:rFonts w:cs="Times New Roman"/>
      <w:kern w:val="0"/>
      <w:sz w:val="20"/>
      <w:szCs w:val="24"/>
    </w:rPr>
  </w:style>
  <w:style w:type="paragraph" w:styleId="6">
    <w:name w:val="caption"/>
    <w:basedOn w:val="1"/>
    <w:next w:val="1"/>
    <w:unhideWhenUsed/>
    <w:qFormat/>
    <w:uiPriority w:val="35"/>
    <w:rPr>
      <w:rFonts w:eastAsia="黑体" w:asciiTheme="majorHAnsi" w:hAnsiTheme="majorHAnsi" w:cstheme="majorBidi"/>
      <w:sz w:val="20"/>
      <w:szCs w:val="20"/>
    </w:rPr>
  </w:style>
  <w:style w:type="paragraph" w:styleId="7">
    <w:name w:val="annotation text"/>
    <w:basedOn w:val="1"/>
    <w:link w:val="43"/>
    <w:unhideWhenUsed/>
    <w:qFormat/>
    <w:uiPriority w:val="99"/>
    <w:pPr>
      <w:jc w:val="left"/>
    </w:pPr>
  </w:style>
  <w:style w:type="paragraph" w:styleId="8">
    <w:name w:val="Body Text"/>
    <w:basedOn w:val="1"/>
    <w:link w:val="73"/>
    <w:semiHidden/>
    <w:unhideWhenUsed/>
    <w:qFormat/>
    <w:uiPriority w:val="99"/>
    <w:pPr>
      <w:spacing w:after="120"/>
    </w:pPr>
  </w:style>
  <w:style w:type="paragraph" w:styleId="9">
    <w:name w:val="toc 3"/>
    <w:basedOn w:val="1"/>
    <w:next w:val="1"/>
    <w:unhideWhenUsed/>
    <w:qFormat/>
    <w:uiPriority w:val="39"/>
    <w:pPr>
      <w:ind w:left="840" w:leftChars="400"/>
    </w:pPr>
  </w:style>
  <w:style w:type="paragraph" w:styleId="10">
    <w:name w:val="Plain Text"/>
    <w:basedOn w:val="1"/>
    <w:qFormat/>
    <w:uiPriority w:val="0"/>
    <w:rPr>
      <w:rFonts w:ascii="宋体" w:hAnsi="Courier New"/>
    </w:rPr>
  </w:style>
  <w:style w:type="paragraph" w:styleId="11">
    <w:name w:val="Balloon Text"/>
    <w:basedOn w:val="1"/>
    <w:link w:val="42"/>
    <w:semiHidden/>
    <w:unhideWhenUsed/>
    <w:qFormat/>
    <w:uiPriority w:val="99"/>
    <w:pPr>
      <w:spacing w:line="240" w:lineRule="auto"/>
    </w:pPr>
    <w:rPr>
      <w:sz w:val="18"/>
      <w:szCs w:val="18"/>
    </w:rPr>
  </w:style>
  <w:style w:type="paragraph" w:styleId="12">
    <w:name w:val="footer"/>
    <w:basedOn w:val="1"/>
    <w:link w:val="31"/>
    <w:unhideWhenUsed/>
    <w:qFormat/>
    <w:uiPriority w:val="99"/>
    <w:pPr>
      <w:tabs>
        <w:tab w:val="center" w:pos="4153"/>
        <w:tab w:val="right" w:pos="8306"/>
      </w:tabs>
      <w:snapToGrid w:val="0"/>
      <w:spacing w:line="240" w:lineRule="auto"/>
      <w:jc w:val="left"/>
    </w:pPr>
    <w:rPr>
      <w:sz w:val="18"/>
      <w:szCs w:val="18"/>
    </w:rPr>
  </w:style>
  <w:style w:type="paragraph" w:styleId="13">
    <w:name w:val="header"/>
    <w:basedOn w:val="1"/>
    <w:link w:val="30"/>
    <w:unhideWhenUsed/>
    <w:qFormat/>
    <w:uiPriority w:val="99"/>
    <w:pPr>
      <w:pBdr>
        <w:bottom w:val="single" w:color="auto" w:sz="6" w:space="1"/>
      </w:pBdr>
      <w:tabs>
        <w:tab w:val="center" w:pos="4153"/>
        <w:tab w:val="right" w:pos="8306"/>
      </w:tabs>
      <w:snapToGrid w:val="0"/>
      <w:spacing w:line="240" w:lineRule="auto"/>
      <w:jc w:val="center"/>
    </w:pPr>
    <w:rPr>
      <w:sz w:val="18"/>
      <w:szCs w:val="18"/>
    </w:rPr>
  </w:style>
  <w:style w:type="paragraph" w:styleId="14">
    <w:name w:val="toc 1"/>
    <w:basedOn w:val="1"/>
    <w:next w:val="1"/>
    <w:unhideWhenUsed/>
    <w:qFormat/>
    <w:uiPriority w:val="39"/>
  </w:style>
  <w:style w:type="paragraph" w:styleId="15">
    <w:name w:val="Subtitle"/>
    <w:basedOn w:val="1"/>
    <w:next w:val="1"/>
    <w:link w:val="32"/>
    <w:qFormat/>
    <w:uiPriority w:val="11"/>
    <w:pPr>
      <w:ind w:firstLine="0" w:firstLineChars="0"/>
      <w:outlineLvl w:val="1"/>
    </w:pPr>
    <w:rPr>
      <w:rFonts w:ascii="Calibri" w:hAnsi="Calibri"/>
      <w:b/>
      <w:bCs/>
      <w:kern w:val="28"/>
      <w:sz w:val="30"/>
      <w:szCs w:val="32"/>
    </w:rPr>
  </w:style>
  <w:style w:type="paragraph" w:styleId="16">
    <w:name w:val="List"/>
    <w:basedOn w:val="1"/>
    <w:next w:val="1"/>
    <w:qFormat/>
    <w:uiPriority w:val="0"/>
    <w:pPr>
      <w:ind w:left="200" w:hanging="200" w:hangingChars="200"/>
    </w:pPr>
    <w:rPr>
      <w:rFonts w:cs="Times New Roman"/>
      <w:sz w:val="21"/>
    </w:rPr>
  </w:style>
  <w:style w:type="paragraph" w:styleId="17">
    <w:name w:val="toc 2"/>
    <w:basedOn w:val="1"/>
    <w:next w:val="1"/>
    <w:unhideWhenUsed/>
    <w:qFormat/>
    <w:uiPriority w:val="39"/>
    <w:pPr>
      <w:ind w:left="420" w:leftChars="200"/>
    </w:pPr>
  </w:style>
  <w:style w:type="paragraph" w:styleId="18">
    <w:name w:val="Body Text 2"/>
    <w:basedOn w:val="1"/>
    <w:link w:val="52"/>
    <w:qFormat/>
    <w:uiPriority w:val="0"/>
    <w:pPr>
      <w:spacing w:after="120" w:line="480" w:lineRule="auto"/>
      <w:ind w:firstLine="0" w:firstLineChars="0"/>
    </w:pPr>
    <w:rPr>
      <w:rFonts w:cs="Times New Roman"/>
      <w:sz w:val="21"/>
      <w:szCs w:val="24"/>
    </w:rPr>
  </w:style>
  <w:style w:type="paragraph" w:styleId="19">
    <w:name w:val="Normal (Web)"/>
    <w:basedOn w:val="1"/>
    <w:link w:val="58"/>
    <w:qFormat/>
    <w:uiPriority w:val="0"/>
    <w:pPr>
      <w:widowControl/>
      <w:spacing w:before="100" w:beforeAutospacing="1" w:after="100" w:afterAutospacing="1" w:line="240" w:lineRule="auto"/>
      <w:ind w:firstLine="0" w:firstLineChars="0"/>
      <w:jc w:val="left"/>
    </w:pPr>
    <w:rPr>
      <w:rFonts w:ascii="宋体" w:hAnsi="宋体" w:cs="Times New Roman"/>
      <w:kern w:val="0"/>
      <w:szCs w:val="20"/>
    </w:rPr>
  </w:style>
  <w:style w:type="paragraph" w:styleId="20">
    <w:name w:val="Title"/>
    <w:basedOn w:val="1"/>
    <w:next w:val="1"/>
    <w:link w:val="26"/>
    <w:qFormat/>
    <w:uiPriority w:val="10"/>
    <w:pPr>
      <w:spacing w:before="960" w:after="240" w:line="720" w:lineRule="auto"/>
      <w:ind w:firstLine="0" w:firstLineChars="0"/>
      <w:jc w:val="center"/>
      <w:outlineLvl w:val="0"/>
    </w:pPr>
    <w:rPr>
      <w:rFonts w:ascii="Calibri" w:hAnsi="Calibri" w:cstheme="majorBidi"/>
      <w:b/>
      <w:bCs/>
      <w:sz w:val="48"/>
      <w:szCs w:val="32"/>
    </w:rPr>
  </w:style>
  <w:style w:type="character" w:styleId="22">
    <w:name w:val="Hyperlink"/>
    <w:basedOn w:val="21"/>
    <w:unhideWhenUsed/>
    <w:qFormat/>
    <w:uiPriority w:val="99"/>
    <w:rPr>
      <w:color w:val="0563C1" w:themeColor="hyperlink"/>
      <w:u w:val="single"/>
      <w14:textFill>
        <w14:solidFill>
          <w14:schemeClr w14:val="hlink"/>
        </w14:solidFill>
      </w14:textFill>
    </w:rPr>
  </w:style>
  <w:style w:type="character" w:styleId="23">
    <w:name w:val="annotation reference"/>
    <w:basedOn w:val="21"/>
    <w:semiHidden/>
    <w:unhideWhenUsed/>
    <w:qFormat/>
    <w:uiPriority w:val="99"/>
    <w:rPr>
      <w:sz w:val="21"/>
      <w:szCs w:val="21"/>
    </w:rPr>
  </w:style>
  <w:style w:type="table" w:styleId="25">
    <w:name w:val="Table Grid"/>
    <w:basedOn w:val="24"/>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customStyle="1" w:styleId="26">
    <w:name w:val="标题 字符"/>
    <w:basedOn w:val="21"/>
    <w:link w:val="20"/>
    <w:qFormat/>
    <w:uiPriority w:val="10"/>
    <w:rPr>
      <w:rFonts w:ascii="Calibri" w:hAnsi="Calibri" w:eastAsia="宋体" w:cstheme="majorBidi"/>
      <w:b/>
      <w:bCs/>
      <w:sz w:val="48"/>
      <w:szCs w:val="32"/>
    </w:rPr>
  </w:style>
  <w:style w:type="character" w:customStyle="1" w:styleId="27">
    <w:name w:val="标题 1 字符"/>
    <w:basedOn w:val="21"/>
    <w:link w:val="2"/>
    <w:qFormat/>
    <w:uiPriority w:val="9"/>
    <w:rPr>
      <w:rFonts w:ascii="Times New Roman" w:hAnsi="Times New Roman" w:eastAsia="宋体"/>
      <w:b/>
      <w:bCs/>
      <w:kern w:val="44"/>
      <w:sz w:val="30"/>
      <w:szCs w:val="44"/>
    </w:rPr>
  </w:style>
  <w:style w:type="character" w:customStyle="1" w:styleId="28">
    <w:name w:val="标题 2 字符"/>
    <w:basedOn w:val="21"/>
    <w:link w:val="3"/>
    <w:qFormat/>
    <w:uiPriority w:val="9"/>
    <w:rPr>
      <w:rFonts w:ascii="Times New Roman" w:hAnsi="Times New Roman" w:eastAsia="宋体" w:cstheme="majorBidi"/>
      <w:b/>
      <w:bCs/>
      <w:sz w:val="28"/>
      <w:szCs w:val="32"/>
    </w:rPr>
  </w:style>
  <w:style w:type="character" w:customStyle="1" w:styleId="29">
    <w:name w:val="标题 3 字符"/>
    <w:basedOn w:val="21"/>
    <w:link w:val="4"/>
    <w:qFormat/>
    <w:uiPriority w:val="9"/>
    <w:rPr>
      <w:rFonts w:ascii="Times New Roman" w:hAnsi="Times New Roman" w:eastAsia="宋体"/>
      <w:b/>
      <w:bCs/>
      <w:sz w:val="28"/>
      <w:szCs w:val="32"/>
    </w:rPr>
  </w:style>
  <w:style w:type="character" w:customStyle="1" w:styleId="30">
    <w:name w:val="页眉 字符"/>
    <w:basedOn w:val="21"/>
    <w:link w:val="13"/>
    <w:qFormat/>
    <w:uiPriority w:val="99"/>
    <w:rPr>
      <w:rFonts w:ascii="Times New Roman" w:hAnsi="Times New Roman" w:eastAsia="宋体"/>
      <w:sz w:val="18"/>
      <w:szCs w:val="18"/>
    </w:rPr>
  </w:style>
  <w:style w:type="character" w:customStyle="1" w:styleId="31">
    <w:name w:val="页脚 字符"/>
    <w:basedOn w:val="21"/>
    <w:link w:val="12"/>
    <w:qFormat/>
    <w:uiPriority w:val="99"/>
    <w:rPr>
      <w:rFonts w:ascii="Times New Roman" w:hAnsi="Times New Roman" w:eastAsia="宋体"/>
      <w:sz w:val="18"/>
      <w:szCs w:val="18"/>
    </w:rPr>
  </w:style>
  <w:style w:type="character" w:customStyle="1" w:styleId="32">
    <w:name w:val="副标题 字符"/>
    <w:basedOn w:val="21"/>
    <w:link w:val="15"/>
    <w:qFormat/>
    <w:uiPriority w:val="11"/>
    <w:rPr>
      <w:rFonts w:ascii="Calibri" w:hAnsi="Calibri" w:eastAsia="宋体"/>
      <w:b/>
      <w:bCs/>
      <w:kern w:val="28"/>
      <w:sz w:val="30"/>
      <w:szCs w:val="32"/>
    </w:rPr>
  </w:style>
  <w:style w:type="paragraph" w:customStyle="1" w:styleId="33">
    <w:name w:val="表格正文"/>
    <w:basedOn w:val="1"/>
    <w:link w:val="34"/>
    <w:qFormat/>
    <w:uiPriority w:val="0"/>
    <w:pPr>
      <w:spacing w:line="240" w:lineRule="auto"/>
      <w:ind w:firstLine="0" w:firstLineChars="0"/>
      <w:jc w:val="center"/>
    </w:pPr>
    <w:rPr>
      <w:sz w:val="21"/>
    </w:rPr>
  </w:style>
  <w:style w:type="character" w:customStyle="1" w:styleId="34">
    <w:name w:val="表格正文 字符"/>
    <w:basedOn w:val="21"/>
    <w:link w:val="33"/>
    <w:qFormat/>
    <w:uiPriority w:val="0"/>
    <w:rPr>
      <w:rFonts w:ascii="Times New Roman" w:hAnsi="Times New Roman" w:eastAsia="宋体"/>
    </w:rPr>
  </w:style>
  <w:style w:type="paragraph" w:customStyle="1" w:styleId="35">
    <w:name w:val="表格标题"/>
    <w:basedOn w:val="33"/>
    <w:link w:val="36"/>
    <w:qFormat/>
    <w:uiPriority w:val="0"/>
    <w:rPr>
      <w:b/>
    </w:rPr>
  </w:style>
  <w:style w:type="character" w:customStyle="1" w:styleId="36">
    <w:name w:val="表格标题 字符"/>
    <w:basedOn w:val="34"/>
    <w:link w:val="35"/>
    <w:qFormat/>
    <w:uiPriority w:val="0"/>
    <w:rPr>
      <w:rFonts w:ascii="Times New Roman" w:hAnsi="Times New Roman" w:eastAsia="宋体"/>
      <w:b/>
    </w:rPr>
  </w:style>
  <w:style w:type="paragraph" w:customStyle="1" w:styleId="37">
    <w:name w:val="图表标题"/>
    <w:basedOn w:val="1"/>
    <w:link w:val="38"/>
    <w:qFormat/>
    <w:uiPriority w:val="0"/>
    <w:pPr>
      <w:spacing w:line="240" w:lineRule="auto"/>
      <w:ind w:firstLine="0" w:firstLineChars="0"/>
      <w:jc w:val="center"/>
    </w:pPr>
    <w:rPr>
      <w:b/>
      <w:sz w:val="21"/>
    </w:rPr>
  </w:style>
  <w:style w:type="character" w:customStyle="1" w:styleId="38">
    <w:name w:val="图表标题 字符"/>
    <w:basedOn w:val="21"/>
    <w:link w:val="37"/>
    <w:qFormat/>
    <w:uiPriority w:val="0"/>
    <w:rPr>
      <w:rFonts w:ascii="Times New Roman" w:hAnsi="Times New Roman" w:eastAsia="宋体"/>
      <w:b/>
    </w:rPr>
  </w:style>
  <w:style w:type="paragraph" w:customStyle="1" w:styleId="39">
    <w:name w:val="TOC 标题1"/>
    <w:basedOn w:val="2"/>
    <w:next w:val="1"/>
    <w:unhideWhenUsed/>
    <w:qFormat/>
    <w:uiPriority w:val="39"/>
    <w:pPr>
      <w:widowControl/>
      <w:numPr>
        <w:numId w:val="0"/>
      </w:numPr>
      <w:spacing w:before="240" w:line="259" w:lineRule="auto"/>
      <w:jc w:val="left"/>
      <w:outlineLvl w:val="9"/>
    </w:pPr>
    <w:rPr>
      <w:rFonts w:asciiTheme="majorHAnsi" w:hAnsiTheme="majorHAnsi" w:eastAsiaTheme="majorEastAsia" w:cstheme="majorBidi"/>
      <w:b w:val="0"/>
      <w:bCs w:val="0"/>
      <w:color w:val="2F5597" w:themeColor="accent1" w:themeShade="BF"/>
      <w:kern w:val="0"/>
      <w:sz w:val="32"/>
      <w:szCs w:val="32"/>
    </w:rPr>
  </w:style>
  <w:style w:type="paragraph" w:customStyle="1" w:styleId="40">
    <w:name w:val="表格"/>
    <w:basedOn w:val="1"/>
    <w:qFormat/>
    <w:uiPriority w:val="0"/>
    <w:pPr>
      <w:autoSpaceDE w:val="0"/>
      <w:autoSpaceDN w:val="0"/>
      <w:adjustRightInd w:val="0"/>
      <w:snapToGrid w:val="0"/>
      <w:spacing w:line="240" w:lineRule="auto"/>
      <w:ind w:firstLine="0" w:firstLineChars="0"/>
      <w:jc w:val="center"/>
    </w:pPr>
    <w:rPr>
      <w:bCs/>
      <w:kern w:val="0"/>
      <w:sz w:val="21"/>
      <w:szCs w:val="21"/>
    </w:rPr>
  </w:style>
  <w:style w:type="paragraph" w:customStyle="1" w:styleId="41">
    <w:name w:val="表头"/>
    <w:basedOn w:val="40"/>
    <w:qFormat/>
    <w:uiPriority w:val="0"/>
    <w:rPr>
      <w:b/>
    </w:rPr>
  </w:style>
  <w:style w:type="character" w:customStyle="1" w:styleId="42">
    <w:name w:val="批注框文本 字符"/>
    <w:basedOn w:val="21"/>
    <w:link w:val="11"/>
    <w:semiHidden/>
    <w:qFormat/>
    <w:uiPriority w:val="99"/>
    <w:rPr>
      <w:rFonts w:ascii="Times New Roman" w:hAnsi="Times New Roman" w:eastAsia="宋体"/>
      <w:sz w:val="18"/>
      <w:szCs w:val="18"/>
    </w:rPr>
  </w:style>
  <w:style w:type="character" w:customStyle="1" w:styleId="43">
    <w:name w:val="批注文字 字符"/>
    <w:basedOn w:val="21"/>
    <w:link w:val="7"/>
    <w:qFormat/>
    <w:uiPriority w:val="99"/>
    <w:rPr>
      <w:rFonts w:ascii="Times New Roman" w:hAnsi="Times New Roman" w:eastAsia="宋体"/>
      <w:sz w:val="24"/>
    </w:rPr>
  </w:style>
  <w:style w:type="paragraph" w:customStyle="1" w:styleId="44">
    <w:name w:val="Default"/>
    <w:basedOn w:val="45"/>
    <w:next w:val="46"/>
    <w:link w:val="47"/>
    <w:qFormat/>
    <w:uiPriority w:val="0"/>
    <w:pPr>
      <w:tabs>
        <w:tab w:val="left" w:pos="480"/>
      </w:tabs>
      <w:autoSpaceDE w:val="0"/>
      <w:autoSpaceDN w:val="0"/>
      <w:spacing w:line="240" w:lineRule="auto"/>
      <w:ind w:firstLine="0" w:firstLineChars="0"/>
    </w:pPr>
    <w:rPr>
      <w:rFonts w:cs="宋体"/>
      <w:color w:val="000000"/>
      <w:szCs w:val="24"/>
    </w:rPr>
  </w:style>
  <w:style w:type="paragraph" w:customStyle="1" w:styleId="45">
    <w:name w:val="纯文本1"/>
    <w:basedOn w:val="1"/>
    <w:qFormat/>
    <w:uiPriority w:val="0"/>
    <w:pPr>
      <w:tabs>
        <w:tab w:val="left" w:pos="480"/>
      </w:tabs>
      <w:adjustRightInd w:val="0"/>
    </w:pPr>
    <w:rPr>
      <w:rFonts w:ascii="宋体" w:hAnsi="Courier New"/>
      <w:szCs w:val="20"/>
    </w:rPr>
  </w:style>
  <w:style w:type="paragraph" w:customStyle="1" w:styleId="46">
    <w:name w:val="样式35"/>
    <w:basedOn w:val="1"/>
    <w:next w:val="1"/>
    <w:qFormat/>
    <w:uiPriority w:val="0"/>
    <w:pPr>
      <w:spacing w:line="312" w:lineRule="auto"/>
      <w:ind w:firstLine="567" w:firstLineChars="0"/>
    </w:pPr>
    <w:rPr>
      <w:rFonts w:ascii="宋体" w:cs="Times New Roman"/>
      <w:sz w:val="21"/>
      <w:szCs w:val="24"/>
    </w:rPr>
  </w:style>
  <w:style w:type="character" w:customStyle="1" w:styleId="47">
    <w:name w:val="Default Char"/>
    <w:link w:val="44"/>
    <w:qFormat/>
    <w:uiPriority w:val="99"/>
    <w:rPr>
      <w:rFonts w:ascii="宋体" w:hAnsi="Times New Roman" w:eastAsia="宋体" w:cs="宋体"/>
      <w:color w:val="000000"/>
      <w:sz w:val="24"/>
      <w:szCs w:val="24"/>
    </w:rPr>
  </w:style>
  <w:style w:type="table" w:customStyle="1" w:styleId="48">
    <w:name w:val="网格型1"/>
    <w:basedOn w:val="24"/>
    <w:qFormat/>
    <w:uiPriority w:val="0"/>
    <w:pPr>
      <w:widowControl w:val="0"/>
      <w:jc w:val="both"/>
    </w:pPr>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paragraph" w:customStyle="1" w:styleId="49">
    <w:name w:val="正文（YHY-GDB)"/>
    <w:basedOn w:val="1"/>
    <w:qFormat/>
    <w:uiPriority w:val="0"/>
    <w:pPr>
      <w:widowControl/>
      <w:adjustRightInd w:val="0"/>
      <w:snapToGrid w:val="0"/>
    </w:pPr>
    <w:rPr>
      <w:rFonts w:ascii="Calibri" w:hAnsi="Calibri" w:cs="Times New Roman"/>
      <w:kern w:val="0"/>
    </w:rPr>
  </w:style>
  <w:style w:type="paragraph" w:customStyle="1" w:styleId="50">
    <w:name w:val="样式 表格 32 + 首行缩进:  2 字符"/>
    <w:basedOn w:val="1"/>
    <w:qFormat/>
    <w:uiPriority w:val="0"/>
    <w:pPr>
      <w:autoSpaceDE w:val="0"/>
      <w:autoSpaceDN w:val="0"/>
      <w:adjustRightInd w:val="0"/>
      <w:spacing w:line="0" w:lineRule="atLeast"/>
      <w:ind w:firstLine="0" w:firstLineChars="0"/>
      <w:jc w:val="center"/>
      <w:textAlignment w:val="baseline"/>
    </w:pPr>
    <w:rPr>
      <w:rFonts w:cs="宋体"/>
      <w:kern w:val="0"/>
      <w:sz w:val="21"/>
      <w:szCs w:val="21"/>
    </w:rPr>
  </w:style>
  <w:style w:type="paragraph" w:customStyle="1" w:styleId="51">
    <w:name w:val="mm表头"/>
    <w:basedOn w:val="1"/>
    <w:qFormat/>
    <w:uiPriority w:val="0"/>
    <w:pPr>
      <w:spacing w:line="480" w:lineRule="exact"/>
      <w:ind w:firstLine="0" w:firstLineChars="0"/>
      <w:jc w:val="center"/>
    </w:pPr>
    <w:rPr>
      <w:rFonts w:eastAsia="黑体" w:cs="宋体"/>
      <w:bCs/>
      <w:color w:val="000000"/>
      <w:szCs w:val="24"/>
    </w:rPr>
  </w:style>
  <w:style w:type="character" w:customStyle="1" w:styleId="52">
    <w:name w:val="正文文本 2 字符"/>
    <w:basedOn w:val="21"/>
    <w:link w:val="18"/>
    <w:qFormat/>
    <w:uiPriority w:val="0"/>
    <w:rPr>
      <w:rFonts w:ascii="Times New Roman" w:hAnsi="Times New Roman" w:eastAsia="宋体" w:cs="Times New Roman"/>
      <w:szCs w:val="24"/>
    </w:rPr>
  </w:style>
  <w:style w:type="paragraph" w:customStyle="1" w:styleId="53">
    <w:name w:val="表格内容"/>
    <w:basedOn w:val="1"/>
    <w:qFormat/>
    <w:uiPriority w:val="0"/>
    <w:pPr>
      <w:tabs>
        <w:tab w:val="left" w:pos="146"/>
      </w:tabs>
      <w:adjustRightInd w:val="0"/>
      <w:snapToGrid w:val="0"/>
      <w:spacing w:line="240" w:lineRule="auto"/>
      <w:ind w:firstLine="0" w:firstLineChars="0"/>
      <w:jc w:val="center"/>
    </w:pPr>
    <w:rPr>
      <w:rFonts w:cs="Times New Roman"/>
      <w:snapToGrid w:val="0"/>
      <w:kern w:val="21"/>
      <w:sz w:val="21"/>
      <w:szCs w:val="24"/>
    </w:rPr>
  </w:style>
  <w:style w:type="paragraph" w:styleId="54">
    <w:name w:val="List Paragraph"/>
    <w:basedOn w:val="1"/>
    <w:qFormat/>
    <w:uiPriority w:val="34"/>
    <w:pPr>
      <w:spacing w:line="240" w:lineRule="auto"/>
      <w:ind w:firstLine="420"/>
    </w:pPr>
    <w:rPr>
      <w:rFonts w:cs="Times New Roman"/>
      <w:sz w:val="21"/>
      <w:szCs w:val="24"/>
    </w:rPr>
  </w:style>
  <w:style w:type="character" w:customStyle="1" w:styleId="55">
    <w:name w:val="页脚 字符1"/>
    <w:qFormat/>
    <w:locked/>
    <w:uiPriority w:val="99"/>
    <w:rPr>
      <w:sz w:val="18"/>
    </w:rPr>
  </w:style>
  <w:style w:type="paragraph" w:customStyle="1" w:styleId="56">
    <w:name w:val="正文！"/>
    <w:basedOn w:val="1"/>
    <w:qFormat/>
    <w:uiPriority w:val="0"/>
    <w:rPr>
      <w:rFonts w:cs="Times New Roman"/>
      <w:szCs w:val="24"/>
    </w:rPr>
  </w:style>
  <w:style w:type="character" w:customStyle="1" w:styleId="57">
    <w:name w:val="Default 字符"/>
    <w:basedOn w:val="21"/>
    <w:qFormat/>
    <w:uiPriority w:val="99"/>
    <w:rPr>
      <w:rFonts w:ascii="宋体" w:hAnsi="宋体" w:cs="宋体"/>
      <w:color w:val="000000"/>
      <w:sz w:val="24"/>
      <w:szCs w:val="24"/>
    </w:rPr>
  </w:style>
  <w:style w:type="character" w:customStyle="1" w:styleId="58">
    <w:name w:val="普通(网站) 字符"/>
    <w:link w:val="19"/>
    <w:qFormat/>
    <w:locked/>
    <w:uiPriority w:val="0"/>
    <w:rPr>
      <w:rFonts w:ascii="宋体" w:hAnsi="宋体" w:eastAsia="宋体" w:cs="Times New Roman"/>
      <w:kern w:val="0"/>
      <w:sz w:val="24"/>
      <w:szCs w:val="20"/>
    </w:rPr>
  </w:style>
  <w:style w:type="paragraph" w:customStyle="1" w:styleId="59">
    <w:name w:val="图表文字"/>
    <w:basedOn w:val="1"/>
    <w:next w:val="1"/>
    <w:link w:val="60"/>
    <w:qFormat/>
    <w:uiPriority w:val="0"/>
    <w:pPr>
      <w:wordWrap w:val="0"/>
      <w:topLinePunct/>
      <w:adjustRightInd w:val="0"/>
      <w:snapToGrid w:val="0"/>
      <w:spacing w:line="0" w:lineRule="atLeast"/>
      <w:ind w:firstLine="0" w:firstLineChars="0"/>
      <w:jc w:val="center"/>
    </w:pPr>
    <w:rPr>
      <w:color w:val="000000" w:themeColor="text1"/>
      <w:kern w:val="44"/>
      <w:sz w:val="18"/>
      <w:szCs w:val="21"/>
      <w14:textFill>
        <w14:solidFill>
          <w14:schemeClr w14:val="tx1"/>
        </w14:solidFill>
      </w14:textFill>
    </w:rPr>
  </w:style>
  <w:style w:type="character" w:customStyle="1" w:styleId="60">
    <w:name w:val="图表文字 Char"/>
    <w:link w:val="59"/>
    <w:qFormat/>
    <w:uiPriority w:val="0"/>
    <w:rPr>
      <w:rFonts w:ascii="Times New Roman" w:hAnsi="Times New Roman" w:eastAsia="宋体"/>
      <w:color w:val="000000" w:themeColor="text1"/>
      <w:kern w:val="44"/>
      <w:sz w:val="18"/>
      <w:szCs w:val="21"/>
      <w14:textFill>
        <w14:solidFill>
          <w14:schemeClr w14:val="tx1"/>
        </w14:solidFill>
      </w14:textFill>
    </w:rPr>
  </w:style>
  <w:style w:type="paragraph" w:customStyle="1" w:styleId="61">
    <w:name w:val="表标题"/>
    <w:basedOn w:val="1"/>
    <w:next w:val="1"/>
    <w:qFormat/>
    <w:uiPriority w:val="0"/>
    <w:pPr>
      <w:widowControl/>
      <w:adjustRightInd w:val="0"/>
      <w:snapToGrid w:val="0"/>
      <w:spacing w:before="50" w:beforeLines="50" w:line="0" w:lineRule="atLeast"/>
      <w:ind w:firstLine="0" w:firstLineChars="0"/>
      <w:jc w:val="center"/>
    </w:pPr>
    <w:rPr>
      <w:rFonts w:hint="eastAsia"/>
      <w:b/>
      <w:color w:val="000000" w:themeColor="text1"/>
      <w:kern w:val="0"/>
      <w:sz w:val="21"/>
      <w:szCs w:val="21"/>
      <w14:textFill>
        <w14:solidFill>
          <w14:schemeClr w14:val="tx1"/>
        </w14:solidFill>
      </w14:textFill>
    </w:rPr>
  </w:style>
  <w:style w:type="paragraph" w:customStyle="1" w:styleId="62">
    <w:name w:val="图 标题"/>
    <w:qFormat/>
    <w:uiPriority w:val="0"/>
    <w:pPr>
      <w:widowControl w:val="0"/>
      <w:spacing w:line="360" w:lineRule="auto"/>
      <w:jc w:val="center"/>
    </w:pPr>
    <w:rPr>
      <w:rFonts w:ascii="Times New Roman" w:hAnsi="Times New Roman" w:eastAsia="宋体" w:cs="Times New Roman"/>
      <w:b/>
      <w:kern w:val="2"/>
      <w:sz w:val="21"/>
      <w:szCs w:val="22"/>
      <w:lang w:val="en-US" w:eastAsia="zh-CN" w:bidi="ar-SA"/>
    </w:rPr>
  </w:style>
  <w:style w:type="character" w:customStyle="1" w:styleId="63">
    <w:name w:val="正文文本 字符"/>
    <w:basedOn w:val="21"/>
    <w:semiHidden/>
    <w:qFormat/>
    <w:uiPriority w:val="99"/>
    <w:rPr>
      <w:rFonts w:ascii="Times New Roman" w:hAnsi="Times New Roman" w:eastAsia="宋体"/>
      <w:sz w:val="24"/>
    </w:rPr>
  </w:style>
  <w:style w:type="paragraph" w:customStyle="1" w:styleId="64">
    <w:name w:val="Table Paragraph"/>
    <w:basedOn w:val="1"/>
    <w:qFormat/>
    <w:uiPriority w:val="1"/>
    <w:pPr>
      <w:spacing w:line="240" w:lineRule="auto"/>
      <w:ind w:firstLine="0" w:firstLineChars="0"/>
      <w:jc w:val="center"/>
    </w:pPr>
    <w:rPr>
      <w:rFonts w:ascii="宋体" w:hAnsi="宋体" w:cs="宋体"/>
      <w:sz w:val="21"/>
      <w:szCs w:val="24"/>
      <w:lang w:val="zh-CN" w:bidi="zh-CN"/>
    </w:rPr>
  </w:style>
  <w:style w:type="paragraph" w:customStyle="1" w:styleId="65">
    <w:name w:val="p0"/>
    <w:basedOn w:val="1"/>
    <w:qFormat/>
    <w:uiPriority w:val="0"/>
    <w:pPr>
      <w:widowControl/>
      <w:spacing w:line="240" w:lineRule="auto"/>
      <w:ind w:firstLine="0" w:firstLineChars="0"/>
    </w:pPr>
    <w:rPr>
      <w:rFonts w:cs="Times New Roman"/>
      <w:kern w:val="0"/>
      <w:sz w:val="21"/>
      <w:szCs w:val="21"/>
    </w:rPr>
  </w:style>
  <w:style w:type="table" w:customStyle="1" w:styleId="66">
    <w:name w:val="网格型2"/>
    <w:basedOn w:val="24"/>
    <w:qFormat/>
    <w:uiPriority w:val="0"/>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table" w:customStyle="1" w:styleId="67">
    <w:name w:val="网格型3"/>
    <w:basedOn w:val="24"/>
    <w:qFormat/>
    <w:uiPriority w:val="0"/>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table" w:customStyle="1" w:styleId="68">
    <w:name w:val="网格型4"/>
    <w:basedOn w:val="24"/>
    <w:qFormat/>
    <w:uiPriority w:val="0"/>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paragraph" w:customStyle="1" w:styleId="69">
    <w:name w:val="正文文字 6"/>
    <w:basedOn w:val="70"/>
    <w:next w:val="1"/>
    <w:qFormat/>
    <w:uiPriority w:val="0"/>
    <w:pPr>
      <w:widowControl w:val="0"/>
      <w:ind w:left="240"/>
      <w:jc w:val="both"/>
    </w:pPr>
    <w:rPr>
      <w:rFonts w:ascii="宋体"/>
      <w:b/>
      <w:bCs/>
      <w:sz w:val="32"/>
      <w:szCs w:val="32"/>
    </w:rPr>
  </w:style>
  <w:style w:type="paragraph" w:customStyle="1" w:styleId="70">
    <w:name w:val="图位置"/>
    <w:next w:val="71"/>
    <w:qFormat/>
    <w:uiPriority w:val="0"/>
    <w:pPr>
      <w:jc w:val="center"/>
    </w:pPr>
    <w:rPr>
      <w:rFonts w:ascii="Times New Roman" w:hAnsi="Times New Roman" w:eastAsia="宋体" w:cs="Times New Roman"/>
      <w:kern w:val="2"/>
      <w:sz w:val="24"/>
      <w:szCs w:val="21"/>
      <w:lang w:val="en-US" w:eastAsia="zh-CN" w:bidi="ar-SA"/>
    </w:rPr>
  </w:style>
  <w:style w:type="paragraph" w:customStyle="1" w:styleId="71">
    <w:name w:val="图题"/>
    <w:basedOn w:val="1"/>
    <w:next w:val="1"/>
    <w:qFormat/>
    <w:uiPriority w:val="0"/>
    <w:pPr>
      <w:jc w:val="center"/>
    </w:pPr>
    <w:rPr>
      <w:rFonts w:ascii="宋体" w:hAnsi="宋体" w:eastAsia="黑体" w:cs="Times New Roman"/>
      <w:b/>
    </w:rPr>
  </w:style>
  <w:style w:type="character" w:customStyle="1" w:styleId="72">
    <w:name w:val="font31"/>
    <w:basedOn w:val="21"/>
    <w:qFormat/>
    <w:uiPriority w:val="0"/>
    <w:rPr>
      <w:rFonts w:hint="eastAsia" w:ascii="宋体" w:hAnsi="宋体" w:eastAsia="宋体" w:cs="宋体"/>
      <w:color w:val="000000"/>
      <w:sz w:val="21"/>
      <w:szCs w:val="21"/>
      <w:u w:val="none"/>
    </w:rPr>
  </w:style>
  <w:style w:type="character" w:customStyle="1" w:styleId="73">
    <w:name w:val="正文文本 字符1"/>
    <w:link w:val="8"/>
    <w:qFormat/>
    <w:uiPriority w:val="0"/>
    <w:rPr>
      <w:rFonts w:ascii="宋体" w:hAnsi="宋体" w:eastAsia="宋体"/>
      <w:b/>
      <w:kern w:val="0"/>
      <w:sz w:val="24"/>
      <w:szCs w:val="24"/>
      <w:lang w:eastAsia="en-US"/>
    </w:rPr>
  </w:style>
  <w:style w:type="paragraph" w:customStyle="1" w:styleId="74">
    <w:name w:val="正文1"/>
    <w:qFormat/>
    <w:uiPriority w:val="0"/>
    <w:pPr>
      <w:jc w:val="both"/>
    </w:pPr>
    <w:rPr>
      <w:rFonts w:ascii="Times New Roman" w:hAnsi="Times New Roman" w:eastAsia="宋体" w:cs="Times New Roman"/>
      <w:kern w:val="2"/>
      <w:sz w:val="21"/>
      <w:szCs w:val="21"/>
      <w:lang w:val="en-US" w:eastAsia="zh-CN" w:bidi="ar-SA"/>
    </w:rPr>
  </w:style>
  <w:style w:type="paragraph" w:customStyle="1" w:styleId="75">
    <w:name w:val="正文2"/>
    <w:qFormat/>
    <w:uiPriority w:val="0"/>
    <w:pPr>
      <w:jc w:val="both"/>
    </w:pPr>
    <w:rPr>
      <w:rFonts w:ascii="Times New Roman" w:hAnsi="Times New Roman" w:eastAsia="宋体" w:cs="Times New Roman"/>
      <w:kern w:val="2"/>
      <w:sz w:val="21"/>
      <w:szCs w:val="21"/>
      <w:lang w:val="en-US" w:eastAsia="zh-CN" w:bidi="ar-SA"/>
    </w:rPr>
  </w:style>
  <w:style w:type="character" w:customStyle="1" w:styleId="76">
    <w:name w:val="15"/>
    <w:basedOn w:val="21"/>
    <w:qFormat/>
    <w:uiPriority w:val="0"/>
    <w:rPr>
      <w:rFonts w:hint="default" w:ascii="Times New Roman" w:hAnsi="Times New Roman" w:cs="Times New Roman"/>
      <w:color w:val="0000FF"/>
      <w:u w:val="single"/>
    </w:rPr>
  </w:style>
  <w:style w:type="paragraph" w:customStyle="1" w:styleId="77">
    <w:name w:val="自定正文"/>
    <w:basedOn w:val="1"/>
    <w:qFormat/>
    <w:uiPriority w:val="0"/>
    <w:pPr>
      <w:snapToGrid w:val="0"/>
      <w:textAlignment w:val="center"/>
    </w:pPr>
    <w:rPr>
      <w:rFonts w:cs="Times New Roman"/>
      <w:color w:val="000000"/>
      <w:szCs w:val="24"/>
    </w:rPr>
  </w:style>
  <w:style w:type="paragraph" w:customStyle="1" w:styleId="78">
    <w:name w:val="正文3"/>
    <w:qFormat/>
    <w:uiPriority w:val="0"/>
    <w:pPr>
      <w:jc w:val="both"/>
    </w:pPr>
    <w:rPr>
      <w:rFonts w:ascii="Times New Roman" w:hAnsi="Times New Roman" w:eastAsia="宋体" w:cs="Times New Roman"/>
      <w:kern w:val="2"/>
      <w:sz w:val="21"/>
      <w:szCs w:val="21"/>
      <w:lang w:val="en-US" w:eastAsia="zh-CN" w:bidi="ar-SA"/>
    </w:rPr>
  </w:style>
  <w:style w:type="character" w:styleId="79">
    <w:name w:val="Placeholder Text"/>
    <w:basedOn w:val="21"/>
    <w:unhideWhenUsed/>
    <w:qFormat/>
    <w:uiPriority w:val="99"/>
    <w:rPr>
      <w:color w:val="666666"/>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8" Type="http://schemas.openxmlformats.org/officeDocument/2006/relationships/fontTable" Target="fontTable.xml"/><Relationship Id="rId37" Type="http://schemas.openxmlformats.org/officeDocument/2006/relationships/customXml" Target="../customXml/item2.xml"/><Relationship Id="rId36" Type="http://schemas.openxmlformats.org/officeDocument/2006/relationships/numbering" Target="numbering.xml"/><Relationship Id="rId35" Type="http://schemas.openxmlformats.org/officeDocument/2006/relationships/customXml" Target="../customXml/item1.xml"/><Relationship Id="rId34" Type="http://schemas.openxmlformats.org/officeDocument/2006/relationships/image" Target="media/image23.jpeg"/><Relationship Id="rId33" Type="http://schemas.openxmlformats.org/officeDocument/2006/relationships/image" Target="media/image22.jpeg"/><Relationship Id="rId32" Type="http://schemas.openxmlformats.org/officeDocument/2006/relationships/image" Target="media/image21.jpeg"/><Relationship Id="rId31" Type="http://schemas.openxmlformats.org/officeDocument/2006/relationships/image" Target="media/image20.jpeg"/><Relationship Id="rId30" Type="http://schemas.openxmlformats.org/officeDocument/2006/relationships/image" Target="media/image19.jpeg"/><Relationship Id="rId3" Type="http://schemas.openxmlformats.org/officeDocument/2006/relationships/header" Target="header1.xml"/><Relationship Id="rId29" Type="http://schemas.openxmlformats.org/officeDocument/2006/relationships/image" Target="media/image18.jpeg"/><Relationship Id="rId28" Type="http://schemas.openxmlformats.org/officeDocument/2006/relationships/image" Target="media/image17.jpeg"/><Relationship Id="rId27" Type="http://schemas.openxmlformats.org/officeDocument/2006/relationships/image" Target="media/image16.jpeg"/><Relationship Id="rId26" Type="http://schemas.openxmlformats.org/officeDocument/2006/relationships/image" Target="media/image15.jpeg"/><Relationship Id="rId25" Type="http://schemas.openxmlformats.org/officeDocument/2006/relationships/image" Target="media/image14.jpeg"/><Relationship Id="rId24" Type="http://schemas.openxmlformats.org/officeDocument/2006/relationships/image" Target="media/image13.jpeg"/><Relationship Id="rId23" Type="http://schemas.openxmlformats.org/officeDocument/2006/relationships/image" Target="media/image12.jpeg"/><Relationship Id="rId22" Type="http://schemas.openxmlformats.org/officeDocument/2006/relationships/image" Target="media/image11.jpeg"/><Relationship Id="rId21" Type="http://schemas.openxmlformats.org/officeDocument/2006/relationships/image" Target="media/image10.jpeg"/><Relationship Id="rId20" Type="http://schemas.openxmlformats.org/officeDocument/2006/relationships/image" Target="media/image9.jpeg"/><Relationship Id="rId2" Type="http://schemas.openxmlformats.org/officeDocument/2006/relationships/settings" Target="settings.xml"/><Relationship Id="rId19" Type="http://schemas.openxmlformats.org/officeDocument/2006/relationships/image" Target="media/image8.jpe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jpe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C296827-83D1-40DB-B8BE-FBF6F61F5AA1}">
  <ds:schemaRefs/>
</ds:datastoreItem>
</file>

<file path=docProps/app.xml><?xml version="1.0" encoding="utf-8"?>
<Properties xmlns="http://schemas.openxmlformats.org/officeDocument/2006/extended-properties" xmlns:vt="http://schemas.openxmlformats.org/officeDocument/2006/docPropsVTypes">
  <Template>Normal.dotm</Template>
  <Pages>115</Pages>
  <Words>4809</Words>
  <Characters>5733</Characters>
  <Lines>4413</Lines>
  <Paragraphs>4247</Paragraphs>
  <ScaleCrop>false</ScaleCrop>
  <LinksUpToDate>false</LinksUpToDate>
  <CharactersWithSpaces>6043</CharactersWithSpaces>
  <Application>WPS Office_10.1.0.7106_F1E327BC-269C-435d-A152-05C5408002CA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2025-12-23T14:50:00Z</dcterms:created>
  <dc:creator>Zchan</dc:creator>
  <cp:lastModifiedBy>Administrator</cp:lastModifiedBy>
  <cp:lastPrinted>2022-05-27T09:57:00Z</cp:lastPrinted>
  <dcterms:modified xsi:type="dcterms:W3CDTF">2026-01-04T01:10:48Z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CD978F23B75C4D0E9507724E5F882545_13</vt:lpwstr>
  </property>
  <property fmtid="{D5CDD505-2E9C-101B-9397-08002B2CF9AE}" pid="3" name="KSOProductBuildVer">
    <vt:lpwstr>2052-10.1.0.7106</vt:lpwstr>
  </property>
  <property fmtid="{D5CDD505-2E9C-101B-9397-08002B2CF9AE}" pid="4" name="KSOTemplateDocerSaveRecord">
    <vt:lpwstr>eyJoZGlkIjoiZDY0OGI2ZjgxMzkxM2NmYWQzZjI1ZGU3ZmI0MzUwYmUiLCJ1c2VySWQiOiIyNDI0OTAzMTQifQ==</vt:lpwstr>
  </property>
  <property fmtid="{D5CDD505-2E9C-101B-9397-08002B2CF9AE}" pid="5" name="NXPowerLiteLastOptimized">
    <vt:lpwstr>4043099</vt:lpwstr>
  </property>
  <property fmtid="{D5CDD505-2E9C-101B-9397-08002B2CF9AE}" pid="6" name="NXPowerLiteSettings">
    <vt:lpwstr>F7200358026400</vt:lpwstr>
  </property>
  <property fmtid="{D5CDD505-2E9C-101B-9397-08002B2CF9AE}" pid="7" name="NXPowerLiteVersion">
    <vt:lpwstr>D5.1.6</vt:lpwstr>
  </property>
</Properties>
</file>