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BABCE">
      <w:pPr>
        <w:spacing w:line="560" w:lineRule="exact"/>
        <w:jc w:val="center"/>
        <w:rPr>
          <w:rFonts w:asciiTheme="minorEastAsia" w:hAnsiTheme="minorEastAsia" w:eastAsiaTheme="minorEastAsia"/>
          <w:b/>
          <w:bCs/>
          <w:color w:val="000000" w:themeColor="text1"/>
          <w:kern w:val="0"/>
          <w:sz w:val="36"/>
          <w:szCs w:val="36"/>
          <w14:textFill>
            <w14:solidFill>
              <w14:schemeClr w14:val="tx1"/>
            </w14:solidFill>
          </w14:textFill>
        </w:rPr>
      </w:pPr>
      <w:r>
        <w:rPr>
          <w:rFonts w:hint="eastAsia" w:asciiTheme="minorEastAsia" w:hAnsiTheme="minorEastAsia" w:eastAsiaTheme="minorEastAsia"/>
          <w:b/>
          <w:bCs/>
          <w:color w:val="000000" w:themeColor="text1"/>
          <w:kern w:val="0"/>
          <w:sz w:val="36"/>
          <w:szCs w:val="36"/>
          <w14:textFill>
            <w14:solidFill>
              <w14:schemeClr w14:val="tx1"/>
            </w14:solidFill>
          </w14:textFill>
        </w:rPr>
        <w:t>高州市利佳矿业发展有限公司年产15万立方米建筑用闪长岩项目竣工环境保护验收意见</w:t>
      </w:r>
    </w:p>
    <w:p w14:paraId="3AFAECA8">
      <w:pPr>
        <w:spacing w:line="560" w:lineRule="exact"/>
        <w:ind w:firstLine="800" w:firstLineChars="250"/>
        <w:rPr>
          <w:rFonts w:ascii="Times New Roman" w:hAnsi="Times New Roman" w:eastAsia="华文宋体"/>
          <w:color w:val="000000" w:themeColor="text1"/>
          <w:kern w:val="0"/>
          <w:sz w:val="32"/>
          <w:szCs w:val="32"/>
          <w14:textFill>
            <w14:solidFill>
              <w14:schemeClr w14:val="tx1"/>
            </w14:solidFill>
          </w14:textFill>
        </w:rPr>
      </w:pPr>
    </w:p>
    <w:p w14:paraId="4755B562">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2025年6月</w:t>
      </w:r>
      <w:r>
        <w:rPr>
          <w:rFonts w:hint="eastAsia" w:ascii="仿宋_GB2312" w:eastAsia="仿宋_GB2312" w:hAnsiTheme="minorEastAsia"/>
          <w:color w:val="000000" w:themeColor="text1"/>
          <w:kern w:val="0"/>
          <w:sz w:val="32"/>
          <w:szCs w:val="32"/>
          <w:lang w:val="en-US" w:eastAsia="zh-CN"/>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0日，</w:t>
      </w:r>
      <w:bookmarkStart w:id="0" w:name="_Hlk147993636"/>
      <w:bookmarkStart w:id="1" w:name="_Hlk153902795"/>
      <w:r>
        <w:rPr>
          <w:rFonts w:hint="eastAsia" w:ascii="仿宋_GB2312" w:eastAsia="仿宋_GB2312" w:hAnsiTheme="minorEastAsia"/>
          <w:color w:val="000000" w:themeColor="text1"/>
          <w:kern w:val="0"/>
          <w:sz w:val="32"/>
          <w:szCs w:val="32"/>
          <w14:textFill>
            <w14:solidFill>
              <w14:schemeClr w14:val="tx1"/>
            </w14:solidFill>
          </w14:textFill>
        </w:rPr>
        <w:t>高州市利佳矿业发展有限公司成立</w:t>
      </w:r>
      <w:bookmarkEnd w:id="0"/>
      <w:bookmarkEnd w:id="1"/>
      <w:r>
        <w:rPr>
          <w:rFonts w:hint="eastAsia" w:ascii="仿宋_GB2312" w:eastAsia="仿宋_GB2312" w:hAnsiTheme="minorEastAsia"/>
          <w:color w:val="000000" w:themeColor="text1"/>
          <w:kern w:val="0"/>
          <w:sz w:val="32"/>
          <w:szCs w:val="32"/>
          <w14:textFill>
            <w14:solidFill>
              <w14:schemeClr w14:val="tx1"/>
            </w14:solidFill>
          </w14:textFill>
        </w:rPr>
        <w:t>高州市利佳矿业发展有限公司年产15万立方米建筑用闪长岩项目竣工环境保护验收工作组，组织召开竣工环境保护验收现场检查会。验收工作组包括高州市利佳矿业发展有限公司（建设单位）、广东环联检测技术有限公司（验收监测单位）的代表，并特邀</w:t>
      </w:r>
      <w:r>
        <w:rPr>
          <w:rFonts w:ascii="仿宋_GB2312" w:eastAsia="仿宋_GB2312" w:hAnsiTheme="minorEastAsia"/>
          <w:color w:val="000000" w:themeColor="text1"/>
          <w:kern w:val="0"/>
          <w:sz w:val="32"/>
          <w:szCs w:val="32"/>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名专家。</w:t>
      </w:r>
    </w:p>
    <w:p w14:paraId="3E1C4DF6">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验收工作组根据高州市利佳矿业发展有限公司年产15万立方米建筑用闪长岩项目竣工环境保护验收调查表并对照《建设项目竣工环境保护验收暂行办法》，严格依照国家有关法律法规、《建设项目竣工环境保护验收技术规范</w:t>
      </w:r>
      <w:r>
        <w:rPr>
          <w:rFonts w:ascii="仿宋_GB2312" w:eastAsia="仿宋_GB2312" w:hAnsiTheme="minorEastAsia"/>
          <w:color w:val="000000" w:themeColor="text1"/>
          <w:kern w:val="0"/>
          <w:sz w:val="32"/>
          <w:szCs w:val="32"/>
          <w14:textFill>
            <w14:solidFill>
              <w14:schemeClr w14:val="tx1"/>
            </w14:solidFill>
          </w14:textFill>
        </w:rPr>
        <w:t xml:space="preserve"> </w:t>
      </w:r>
      <w:r>
        <w:rPr>
          <w:rFonts w:hint="eastAsia" w:ascii="仿宋_GB2312" w:eastAsia="仿宋_GB2312" w:hAnsiTheme="minorEastAsia"/>
          <w:color w:val="000000" w:themeColor="text1"/>
          <w:kern w:val="0"/>
          <w:sz w:val="32"/>
          <w:szCs w:val="32"/>
          <w14:textFill>
            <w14:solidFill>
              <w14:schemeClr w14:val="tx1"/>
            </w14:solidFill>
          </w14:textFill>
        </w:rPr>
        <w:t>生态影响类》、本项目环境影响表和审批部门审批决定等要求，现场核实了本项目建设及配套的环境保护措施落实情况，查阅了相关资料，经认真讨论，提出意见如下：</w:t>
      </w:r>
      <w:r>
        <w:rPr>
          <w:rFonts w:ascii="仿宋_GB2312" w:eastAsia="仿宋_GB2312" w:hAnsiTheme="minorEastAsia"/>
          <w:color w:val="000000" w:themeColor="text1"/>
          <w:kern w:val="0"/>
          <w:sz w:val="32"/>
          <w:szCs w:val="32"/>
          <w14:textFill>
            <w14:solidFill>
              <w14:schemeClr w14:val="tx1"/>
            </w14:solidFill>
          </w14:textFill>
        </w:rPr>
        <w:t xml:space="preserve">   </w:t>
      </w:r>
    </w:p>
    <w:p w14:paraId="5EE7BCA5">
      <w:pPr>
        <w:pStyle w:val="38"/>
        <w:spacing w:line="560" w:lineRule="exact"/>
        <w:ind w:firstLine="643"/>
        <w:outlineLvl w:val="0"/>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一、工程建设的基本情况</w:t>
      </w:r>
    </w:p>
    <w:p w14:paraId="7B3CDD74">
      <w:pPr>
        <w:spacing w:line="560" w:lineRule="exact"/>
        <w:ind w:firstLine="643" w:firstLineChars="200"/>
        <w:outlineLvl w:val="0"/>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（一）建设地点、规模、主要建设内容</w:t>
      </w:r>
    </w:p>
    <w:p w14:paraId="30126241">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高州市利佳矿业发展有限公司年产15万立方米建筑用闪长岩项目位于高州市石鼓镇祥山茅园村岗岭（坐标：</w:t>
      </w:r>
      <w:r>
        <w:rPr>
          <w:rFonts w:ascii="仿宋_GB2312" w:eastAsia="仿宋_GB2312" w:hAnsiTheme="minorEastAsia"/>
          <w:color w:val="000000" w:themeColor="text1"/>
          <w:kern w:val="0"/>
          <w:sz w:val="32"/>
          <w:szCs w:val="32"/>
          <w14:textFill>
            <w14:solidFill>
              <w14:schemeClr w14:val="tx1"/>
            </w14:solidFill>
          </w14:textFill>
        </w:rPr>
        <w:t>E110.6993604°，N 21.7707529°</w:t>
      </w:r>
      <w:r>
        <w:rPr>
          <w:rFonts w:hint="eastAsia" w:ascii="仿宋_GB2312" w:eastAsia="仿宋_GB2312" w:hAnsiTheme="minorEastAsia"/>
          <w:color w:val="000000" w:themeColor="text1"/>
          <w:kern w:val="0"/>
          <w:sz w:val="32"/>
          <w:szCs w:val="32"/>
          <w14:textFill>
            <w14:solidFill>
              <w14:schemeClr w14:val="tx1"/>
            </w14:solidFill>
          </w14:textFill>
        </w:rPr>
        <w:t>），</w:t>
      </w:r>
      <w:r>
        <w:rPr>
          <w:rFonts w:ascii="仿宋_GB2312" w:eastAsia="仿宋_GB2312" w:hAnsiTheme="minorEastAsia"/>
          <w:color w:val="000000" w:themeColor="text1"/>
          <w:kern w:val="0"/>
          <w:sz w:val="32"/>
          <w:szCs w:val="32"/>
          <w14:textFill>
            <w14:solidFill>
              <w14:schemeClr w14:val="tx1"/>
            </w14:solidFill>
          </w14:textFill>
        </w:rPr>
        <w:t>项目占地面积为70000平方米，划分为开采区、加工区、办公区、道路区和成品堆放区</w:t>
      </w:r>
      <w:r>
        <w:rPr>
          <w:rFonts w:hint="eastAsia" w:ascii="仿宋_GB2312" w:eastAsia="仿宋_GB2312" w:hAnsiTheme="minorEastAsia"/>
          <w:color w:val="000000" w:themeColor="text1"/>
          <w:kern w:val="0"/>
          <w:sz w:val="32"/>
          <w:szCs w:val="32"/>
          <w14:textFill>
            <w14:solidFill>
              <w14:schemeClr w14:val="tx1"/>
            </w14:solidFill>
          </w14:textFill>
        </w:rPr>
        <w:t>。项目</w:t>
      </w:r>
      <w:r>
        <w:rPr>
          <w:rFonts w:ascii="仿宋_GB2312" w:eastAsia="仿宋_GB2312" w:hAnsiTheme="minorEastAsia"/>
          <w:color w:val="000000" w:themeColor="text1"/>
          <w:kern w:val="0"/>
          <w:sz w:val="32"/>
          <w:szCs w:val="32"/>
          <w14:textFill>
            <w14:solidFill>
              <w14:schemeClr w14:val="tx1"/>
            </w14:solidFill>
          </w14:textFill>
        </w:rPr>
        <w:t>年采出建筑用闪长岩矿为15万立方（约41.55万吨），换算成建筑规格碎石22.80万立方米/年以及副产石粉7.83万立方米/年，不进行洗砂。产品主要为工业与民用建筑碎石，其中碎石规格有1～2厘米、2～4厘米和副产的＜1厘米石粉以及路基块石等。</w:t>
      </w:r>
    </w:p>
    <w:p w14:paraId="58812DC7">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（二）建设过程及环保审批情况</w:t>
      </w:r>
    </w:p>
    <w:p w14:paraId="4E3F7320">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高州市利佳矿业发展有限公司2015年5月委托广东核力工程勘察院编写了《广东省高州市石鼓镇祥山茅园村岗岭矿区年采10万m</w:t>
      </w:r>
      <w:r>
        <w:rPr>
          <w:rFonts w:hint="eastAsia" w:ascii="仿宋_GB2312" w:eastAsia="仿宋_GB2312" w:hAnsiTheme="minorEastAsia"/>
          <w:color w:val="000000" w:themeColor="text1"/>
          <w:kern w:val="0"/>
          <w:sz w:val="32"/>
          <w:szCs w:val="32"/>
          <w:vertAlign w:val="superscript"/>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建筑用闪长岩矿新建项目环境影响报告书》，并于2015年7月24日取得《茂名市生态环境局关于广东省高州市石鼓镇祥山茅园村岗岭矿区年采10万m</w:t>
      </w:r>
      <w:r>
        <w:rPr>
          <w:rFonts w:hint="eastAsia" w:ascii="仿宋_GB2312" w:eastAsia="仿宋_GB2312" w:hAnsiTheme="minorEastAsia"/>
          <w:color w:val="000000" w:themeColor="text1"/>
          <w:kern w:val="0"/>
          <w:sz w:val="32"/>
          <w:szCs w:val="32"/>
          <w:vertAlign w:val="superscript"/>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建筑用闪长岩矿新建项目环境影响报告书的批复》(茂环审[2015]23号)。为响应政府矿山资源规划及矿产资源开采管理，同时为了提高矿产资源开发利用程度，矿山企业扩大矿山生产规模，生产规模由10万立方米/年变更为15万立方米/年，参照《污染影响类建设项目重大变动清单（试行）》（环办环评函[2020]688 号），本项目新增开采规模超过原有开采规模的30%，发生重大变动，2022年</w:t>
      </w:r>
      <w:r>
        <w:rPr>
          <w:rFonts w:ascii="仿宋_GB2312" w:eastAsia="仿宋_GB2312" w:hAnsiTheme="minorEastAsia"/>
          <w:color w:val="000000" w:themeColor="text1"/>
          <w:kern w:val="0"/>
          <w:sz w:val="32"/>
          <w:szCs w:val="32"/>
          <w14:textFill>
            <w14:solidFill>
              <w14:schemeClr w14:val="tx1"/>
            </w14:solidFill>
          </w14:textFill>
        </w:rPr>
        <w:t>2</w:t>
      </w:r>
      <w:r>
        <w:rPr>
          <w:rFonts w:hint="eastAsia" w:ascii="仿宋_GB2312" w:eastAsia="仿宋_GB2312" w:hAnsiTheme="minorEastAsia"/>
          <w:color w:val="000000" w:themeColor="text1"/>
          <w:kern w:val="0"/>
          <w:sz w:val="32"/>
          <w:szCs w:val="32"/>
          <w14:textFill>
            <w14:solidFill>
              <w14:schemeClr w14:val="tx1"/>
            </w14:solidFill>
          </w14:textFill>
        </w:rPr>
        <w:t>月，高州市利佳矿业发展有限公司委托深圳市森美达环保科技有限公司编制完成了《高州市利佳矿业发展有限公司年产15万立方米建筑用闪长岩项目环境影响报告表》，并于2022年</w:t>
      </w:r>
      <w:r>
        <w:rPr>
          <w:rFonts w:ascii="仿宋_GB2312" w:eastAsia="仿宋_GB2312" w:hAnsiTheme="minorEastAsia"/>
          <w:color w:val="000000" w:themeColor="text1"/>
          <w:kern w:val="0"/>
          <w:sz w:val="32"/>
          <w:szCs w:val="32"/>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月31日取得了茂名市生态环境保护局《高州市利佳矿业发展有限公司年产15万立方米建筑用闪长岩项目环境影响报告表的批复》（批文号：茂环审（2022）14号）。</w:t>
      </w:r>
    </w:p>
    <w:p w14:paraId="6EC60342">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项目于202</w:t>
      </w:r>
      <w:r>
        <w:rPr>
          <w:rFonts w:ascii="仿宋_GB2312" w:eastAsia="仿宋_GB2312" w:hAnsiTheme="minorEastAsia"/>
          <w:color w:val="000000" w:themeColor="text1"/>
          <w:kern w:val="0"/>
          <w:sz w:val="32"/>
          <w:szCs w:val="32"/>
          <w14:textFill>
            <w14:solidFill>
              <w14:schemeClr w14:val="tx1"/>
            </w14:solidFill>
          </w14:textFill>
        </w:rPr>
        <w:t>2</w:t>
      </w:r>
      <w:r>
        <w:rPr>
          <w:rFonts w:hint="eastAsia" w:ascii="仿宋_GB2312" w:eastAsia="仿宋_GB2312" w:hAnsiTheme="minorEastAsia"/>
          <w:color w:val="000000" w:themeColor="text1"/>
          <w:kern w:val="0"/>
          <w:sz w:val="32"/>
          <w:szCs w:val="32"/>
          <w14:textFill>
            <w14:solidFill>
              <w14:schemeClr w14:val="tx1"/>
            </w14:solidFill>
          </w14:textFill>
        </w:rPr>
        <w:t>年</w:t>
      </w:r>
      <w:r>
        <w:rPr>
          <w:rFonts w:ascii="仿宋_GB2312" w:eastAsia="仿宋_GB2312" w:hAnsiTheme="minorEastAsia"/>
          <w:color w:val="000000" w:themeColor="text1"/>
          <w:kern w:val="0"/>
          <w:sz w:val="32"/>
          <w:szCs w:val="32"/>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月开工建设，202</w:t>
      </w:r>
      <w:r>
        <w:rPr>
          <w:rFonts w:ascii="仿宋_GB2312" w:eastAsia="仿宋_GB2312" w:hAnsiTheme="minorEastAsia"/>
          <w:color w:val="000000" w:themeColor="text1"/>
          <w:kern w:val="0"/>
          <w:sz w:val="32"/>
          <w:szCs w:val="32"/>
          <w14:textFill>
            <w14:solidFill>
              <w14:schemeClr w14:val="tx1"/>
            </w14:solidFill>
          </w14:textFill>
        </w:rPr>
        <w:t>5</w:t>
      </w:r>
      <w:r>
        <w:rPr>
          <w:rFonts w:hint="eastAsia" w:ascii="仿宋_GB2312" w:eastAsia="仿宋_GB2312" w:hAnsiTheme="minorEastAsia"/>
          <w:color w:val="000000" w:themeColor="text1"/>
          <w:kern w:val="0"/>
          <w:sz w:val="32"/>
          <w:szCs w:val="32"/>
          <w14:textFill>
            <w14:solidFill>
              <w14:schemeClr w14:val="tx1"/>
            </w14:solidFill>
          </w14:textFill>
        </w:rPr>
        <w:t>年</w:t>
      </w:r>
      <w:r>
        <w:rPr>
          <w:rFonts w:ascii="仿宋_GB2312" w:eastAsia="仿宋_GB2312" w:hAnsiTheme="minorEastAsia"/>
          <w:color w:val="000000" w:themeColor="text1"/>
          <w:kern w:val="0"/>
          <w:sz w:val="32"/>
          <w:szCs w:val="32"/>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月完工投入试运行。</w:t>
      </w:r>
    </w:p>
    <w:p w14:paraId="3D77DE42">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ascii="仿宋_GB2312" w:eastAsia="仿宋_GB2312" w:hAnsiTheme="minorEastAsia"/>
          <w:color w:val="000000" w:themeColor="text1"/>
          <w:kern w:val="0"/>
          <w:sz w:val="32"/>
          <w:szCs w:val="32"/>
          <w14:textFill>
            <w14:solidFill>
              <w14:schemeClr w14:val="tx1"/>
            </w14:solidFill>
          </w14:textFill>
        </w:rPr>
        <w:t>20</w:t>
      </w:r>
      <w:r>
        <w:rPr>
          <w:rFonts w:hint="eastAsia" w:ascii="仿宋_GB2312" w:eastAsia="仿宋_GB2312" w:hAnsiTheme="minorEastAsia"/>
          <w:color w:val="000000" w:themeColor="text1"/>
          <w:kern w:val="0"/>
          <w:sz w:val="32"/>
          <w:szCs w:val="32"/>
          <w14:textFill>
            <w14:solidFill>
              <w14:schemeClr w14:val="tx1"/>
            </w14:solidFill>
          </w14:textFill>
        </w:rPr>
        <w:t>25年</w:t>
      </w:r>
      <w:r>
        <w:rPr>
          <w:rFonts w:ascii="仿宋_GB2312" w:eastAsia="仿宋_GB2312" w:hAnsiTheme="minorEastAsia"/>
          <w:color w:val="000000" w:themeColor="text1"/>
          <w:kern w:val="0"/>
          <w:sz w:val="32"/>
          <w:szCs w:val="32"/>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月，高州市利佳矿业发展有限公司委托广东环联检测技术有限公司开展验收监测工作并编制本验收监测报告。</w:t>
      </w:r>
    </w:p>
    <w:p w14:paraId="3A965761">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（三）投资情况</w:t>
      </w:r>
    </w:p>
    <w:p w14:paraId="34A2F011">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项目实际总投资</w:t>
      </w:r>
      <w:r>
        <w:rPr>
          <w:rFonts w:ascii="仿宋_GB2312" w:eastAsia="仿宋_GB2312" w:hAnsiTheme="minorEastAsia"/>
          <w:color w:val="000000" w:themeColor="text1"/>
          <w:kern w:val="0"/>
          <w:sz w:val="32"/>
          <w:szCs w:val="32"/>
          <w14:textFill>
            <w14:solidFill>
              <w14:schemeClr w14:val="tx1"/>
            </w14:solidFill>
          </w14:textFill>
        </w:rPr>
        <w:t>25</w:t>
      </w:r>
      <w:r>
        <w:rPr>
          <w:rFonts w:hint="eastAsia" w:ascii="仿宋_GB2312" w:eastAsia="仿宋_GB2312" w:hAnsiTheme="minorEastAsia"/>
          <w:color w:val="000000" w:themeColor="text1"/>
          <w:kern w:val="0"/>
          <w:sz w:val="32"/>
          <w:szCs w:val="32"/>
          <w14:textFill>
            <w14:solidFill>
              <w14:schemeClr w14:val="tx1"/>
            </w14:solidFill>
          </w14:textFill>
        </w:rPr>
        <w:t>00万元，实际环保投资</w:t>
      </w:r>
      <w:r>
        <w:rPr>
          <w:rFonts w:ascii="仿宋_GB2312" w:eastAsia="仿宋_GB2312" w:hAnsiTheme="minorEastAsia"/>
          <w:color w:val="000000" w:themeColor="text1"/>
          <w:kern w:val="0"/>
          <w:sz w:val="32"/>
          <w:szCs w:val="32"/>
          <w14:textFill>
            <w14:solidFill>
              <w14:schemeClr w14:val="tx1"/>
            </w14:solidFill>
          </w14:textFill>
        </w:rPr>
        <w:t>26</w:t>
      </w:r>
      <w:r>
        <w:rPr>
          <w:rFonts w:hint="eastAsia" w:ascii="仿宋_GB2312" w:eastAsia="仿宋_GB2312" w:hAnsiTheme="minorEastAsia"/>
          <w:color w:val="000000" w:themeColor="text1"/>
          <w:kern w:val="0"/>
          <w:sz w:val="32"/>
          <w:szCs w:val="32"/>
          <w14:textFill>
            <w14:solidFill>
              <w14:schemeClr w14:val="tx1"/>
            </w14:solidFill>
          </w14:textFill>
        </w:rPr>
        <w:t>0万元，约占总投资的1</w:t>
      </w:r>
      <w:r>
        <w:rPr>
          <w:rFonts w:ascii="仿宋_GB2312" w:eastAsia="仿宋_GB2312" w:hAnsiTheme="minorEastAsia"/>
          <w:color w:val="000000" w:themeColor="text1"/>
          <w:kern w:val="0"/>
          <w:sz w:val="32"/>
          <w:szCs w:val="32"/>
          <w14:textFill>
            <w14:solidFill>
              <w14:schemeClr w14:val="tx1"/>
            </w14:solidFill>
          </w14:textFill>
        </w:rPr>
        <w:t>0.40</w:t>
      </w:r>
      <w:r>
        <w:rPr>
          <w:rFonts w:hint="eastAsia" w:ascii="仿宋_GB2312" w:eastAsia="仿宋_GB2312" w:hAnsiTheme="minorEastAsia"/>
          <w:color w:val="000000" w:themeColor="text1"/>
          <w:kern w:val="0"/>
          <w:sz w:val="32"/>
          <w:szCs w:val="32"/>
          <w14:textFill>
            <w14:solidFill>
              <w14:schemeClr w14:val="tx1"/>
            </w14:solidFill>
          </w14:textFill>
        </w:rPr>
        <w:t>%。</w:t>
      </w:r>
    </w:p>
    <w:p w14:paraId="69E08F1F">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（四）验收范围</w:t>
      </w:r>
    </w:p>
    <w:p w14:paraId="135F9E90">
      <w:pPr>
        <w:spacing w:line="560" w:lineRule="exact"/>
        <w:ind w:firstLine="640" w:firstLineChars="200"/>
        <w:rPr>
          <w:color w:val="000000" w:themeColor="text1"/>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本次验收范围为项目涉及的废水、废气、噪声、固废治理设施。</w:t>
      </w:r>
    </w:p>
    <w:p w14:paraId="25993C13">
      <w:pPr>
        <w:pStyle w:val="38"/>
        <w:spacing w:line="560" w:lineRule="exact"/>
        <w:ind w:firstLine="643"/>
        <w:outlineLvl w:val="0"/>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二、工程变动情况</w:t>
      </w:r>
    </w:p>
    <w:p w14:paraId="612B58D2">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对比原环评变化内容为：</w:t>
      </w:r>
    </w:p>
    <w:p w14:paraId="31CF4D1B">
      <w:pPr>
        <w:pStyle w:val="38"/>
        <w:spacing w:line="560" w:lineRule="exact"/>
        <w:ind w:firstLine="640"/>
        <w:jc w:val="left"/>
        <w:outlineLvl w:val="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（1）开采深度发生变化：</w:t>
      </w:r>
      <w:r>
        <w:rPr>
          <w:rFonts w:ascii="仿宋_GB2312" w:eastAsia="仿宋_GB2312" w:hAnsiTheme="minorEastAsia"/>
          <w:color w:val="000000" w:themeColor="text1"/>
          <w:kern w:val="0"/>
          <w:sz w:val="32"/>
          <w:szCs w:val="32"/>
          <w14:textFill>
            <w14:solidFill>
              <w14:schemeClr w14:val="tx1"/>
            </w14:solidFill>
          </w14:textFill>
        </w:rPr>
        <w:t>开采深度</w:t>
      </w:r>
      <w:r>
        <w:rPr>
          <w:rFonts w:hint="eastAsia" w:ascii="仿宋_GB2312" w:eastAsia="仿宋_GB2312" w:hAnsiTheme="minorEastAsia"/>
          <w:color w:val="000000" w:themeColor="text1"/>
          <w:kern w:val="0"/>
          <w:sz w:val="32"/>
          <w:szCs w:val="32"/>
          <w14:textFill>
            <w14:solidFill>
              <w14:schemeClr w14:val="tx1"/>
            </w14:solidFill>
          </w14:textFill>
        </w:rPr>
        <w:t>由环评</w:t>
      </w:r>
      <w:r>
        <w:rPr>
          <w:rFonts w:ascii="仿宋_GB2312" w:eastAsia="仿宋_GB2312" w:hAnsiTheme="minorEastAsia"/>
          <w:color w:val="000000" w:themeColor="text1"/>
          <w:kern w:val="0"/>
          <w:sz w:val="32"/>
          <w:szCs w:val="32"/>
          <w14:textFill>
            <w14:solidFill>
              <w14:schemeClr w14:val="tx1"/>
            </w14:solidFill>
          </w14:textFill>
        </w:rPr>
        <w:t>“+76～-22.5 米”</w:t>
      </w:r>
      <w:r>
        <w:rPr>
          <w:rFonts w:hint="eastAsia" w:ascii="仿宋_GB2312" w:eastAsia="仿宋_GB2312" w:hAnsiTheme="minorEastAsia"/>
          <w:color w:val="000000" w:themeColor="text1"/>
          <w:kern w:val="0"/>
          <w:sz w:val="32"/>
          <w:szCs w:val="32"/>
          <w14:textFill>
            <w14:solidFill>
              <w14:schemeClr w14:val="tx1"/>
            </w14:solidFill>
          </w14:textFill>
        </w:rPr>
        <w:t>变更为</w:t>
      </w:r>
      <w:r>
        <w:rPr>
          <w:rFonts w:ascii="仿宋_GB2312" w:eastAsia="仿宋_GB2312" w:hAnsiTheme="minorEastAsia"/>
          <w:color w:val="000000" w:themeColor="text1"/>
          <w:kern w:val="0"/>
          <w:sz w:val="32"/>
          <w:szCs w:val="32"/>
          <w14:textFill>
            <w14:solidFill>
              <w14:schemeClr w14:val="tx1"/>
            </w14:solidFill>
          </w14:textFill>
        </w:rPr>
        <w:t>“+</w:t>
      </w:r>
      <w:r>
        <w:rPr>
          <w:rFonts w:hint="eastAsia" w:ascii="仿宋_GB2312" w:eastAsia="仿宋_GB2312" w:hAnsiTheme="minorEastAsia"/>
          <w:color w:val="000000" w:themeColor="text1"/>
          <w:kern w:val="0"/>
          <w:sz w:val="32"/>
          <w:szCs w:val="32"/>
          <w14:textFill>
            <w14:solidFill>
              <w14:schemeClr w14:val="tx1"/>
            </w14:solidFill>
          </w14:textFill>
        </w:rPr>
        <w:t>75</w:t>
      </w:r>
      <w:r>
        <w:rPr>
          <w:rFonts w:ascii="仿宋_GB2312" w:eastAsia="仿宋_GB2312" w:hAnsiTheme="minorEastAsia"/>
          <w:color w:val="000000" w:themeColor="text1"/>
          <w:kern w:val="0"/>
          <w:sz w:val="32"/>
          <w:szCs w:val="32"/>
          <w14:textFill>
            <w14:solidFill>
              <w14:schemeClr w14:val="tx1"/>
            </w14:solidFill>
          </w14:textFill>
        </w:rPr>
        <w:t>～</w:t>
      </w:r>
      <w:r>
        <w:rPr>
          <w:rFonts w:hint="eastAsia" w:ascii="仿宋_GB2312" w:eastAsia="仿宋_GB2312" w:hAnsiTheme="minorEastAsia"/>
          <w:color w:val="000000" w:themeColor="text1"/>
          <w:kern w:val="0"/>
          <w:sz w:val="32"/>
          <w:szCs w:val="32"/>
          <w14:textFill>
            <w14:solidFill>
              <w14:schemeClr w14:val="tx1"/>
            </w14:solidFill>
          </w14:textFill>
        </w:rPr>
        <w:t>10</w:t>
      </w:r>
      <w:r>
        <w:rPr>
          <w:rFonts w:ascii="仿宋_GB2312" w:eastAsia="仿宋_GB2312" w:hAnsiTheme="minorEastAsia"/>
          <w:color w:val="000000" w:themeColor="text1"/>
          <w:kern w:val="0"/>
          <w:sz w:val="32"/>
          <w:szCs w:val="32"/>
          <w14:textFill>
            <w14:solidFill>
              <w14:schemeClr w14:val="tx1"/>
            </w14:solidFill>
          </w14:textFill>
        </w:rPr>
        <w:t>米”</w:t>
      </w:r>
      <w:r>
        <w:rPr>
          <w:rFonts w:hint="eastAsia" w:ascii="仿宋_GB2312" w:eastAsia="仿宋_GB2312" w:hAnsiTheme="minorEastAsia"/>
          <w:color w:val="000000" w:themeColor="text1"/>
          <w:kern w:val="0"/>
          <w:sz w:val="32"/>
          <w:szCs w:val="32"/>
          <w14:textFill>
            <w14:solidFill>
              <w14:schemeClr w14:val="tx1"/>
            </w14:solidFill>
          </w14:textFill>
        </w:rPr>
        <w:t>，</w:t>
      </w:r>
      <w:r>
        <w:rPr>
          <w:rFonts w:ascii="仿宋_GB2312" w:eastAsia="仿宋_GB2312" w:hAnsiTheme="minorEastAsia"/>
          <w:color w:val="000000" w:themeColor="text1"/>
          <w:kern w:val="0"/>
          <w:sz w:val="32"/>
          <w:szCs w:val="32"/>
          <w14:textFill>
            <w14:solidFill>
              <w14:schemeClr w14:val="tx1"/>
            </w14:solidFill>
          </w14:textFill>
        </w:rPr>
        <w:t>开采深度较环评少了</w:t>
      </w:r>
      <w:r>
        <w:rPr>
          <w:rFonts w:hint="eastAsia" w:ascii="仿宋_GB2312" w:eastAsia="仿宋_GB2312" w:hAnsiTheme="minorEastAsia"/>
          <w:color w:val="000000" w:themeColor="text1"/>
          <w:kern w:val="0"/>
          <w:sz w:val="32"/>
          <w:szCs w:val="32"/>
          <w14:textFill>
            <w14:solidFill>
              <w14:schemeClr w14:val="tx1"/>
            </w14:solidFill>
          </w14:textFill>
        </w:rPr>
        <w:t>；</w:t>
      </w:r>
    </w:p>
    <w:p w14:paraId="10488513">
      <w:pPr>
        <w:pStyle w:val="38"/>
        <w:numPr>
          <w:ilvl w:val="0"/>
          <w:numId w:val="1"/>
        </w:numPr>
        <w:spacing w:line="560" w:lineRule="exact"/>
        <w:ind w:firstLine="640"/>
        <w:jc w:val="left"/>
        <w:outlineLvl w:val="0"/>
        <w:rPr>
          <w:rFonts w:ascii="仿宋_GB2312" w:eastAsia="仿宋_GB2312" w:hAnsiTheme="minorEastAsia"/>
          <w:color w:val="000000" w:themeColor="text1"/>
          <w:kern w:val="0"/>
          <w:sz w:val="32"/>
          <w:szCs w:val="32"/>
          <w14:textFill>
            <w14:solidFill>
              <w14:schemeClr w14:val="tx1"/>
            </w14:solidFill>
          </w14:textFill>
        </w:rPr>
      </w:pPr>
      <w:bookmarkStart w:id="2" w:name="OLE_LINK1"/>
      <w:bookmarkStart w:id="3" w:name="OLE_LINK2"/>
      <w:r>
        <w:rPr>
          <w:rFonts w:hint="eastAsia" w:ascii="仿宋_GB2312" w:eastAsia="仿宋_GB2312" w:hAnsiTheme="minorEastAsia"/>
          <w:color w:val="000000" w:themeColor="text1"/>
          <w:kern w:val="0"/>
          <w:sz w:val="32"/>
          <w:szCs w:val="32"/>
          <w14:textFill>
            <w14:solidFill>
              <w14:schemeClr w14:val="tx1"/>
            </w14:solidFill>
          </w14:textFill>
        </w:rPr>
        <w:t>与环评</w:t>
      </w:r>
      <w:r>
        <w:rPr>
          <w:rFonts w:ascii="仿宋_GB2312" w:eastAsia="仿宋_GB2312" w:hAnsiTheme="minorEastAsia"/>
          <w:color w:val="000000" w:themeColor="text1"/>
          <w:kern w:val="0"/>
          <w:sz w:val="32"/>
          <w:szCs w:val="32"/>
          <w14:textFill>
            <w14:solidFill>
              <w14:schemeClr w14:val="tx1"/>
            </w14:solidFill>
          </w14:textFill>
        </w:rPr>
        <w:t>相比，不</w:t>
      </w:r>
      <w:r>
        <w:rPr>
          <w:rFonts w:hint="eastAsia" w:ascii="仿宋_GB2312" w:eastAsia="仿宋_GB2312" w:hAnsiTheme="minorEastAsia"/>
          <w:color w:val="000000" w:themeColor="text1"/>
          <w:kern w:val="0"/>
          <w:sz w:val="32"/>
          <w:szCs w:val="32"/>
          <w14:textFill>
            <w14:solidFill>
              <w14:schemeClr w14:val="tx1"/>
            </w14:solidFill>
          </w14:textFill>
        </w:rPr>
        <w:t>再</w:t>
      </w:r>
      <w:r>
        <w:rPr>
          <w:rFonts w:ascii="仿宋_GB2312" w:eastAsia="仿宋_GB2312" w:hAnsiTheme="minorEastAsia"/>
          <w:color w:val="000000" w:themeColor="text1"/>
          <w:kern w:val="0"/>
          <w:sz w:val="32"/>
          <w:szCs w:val="32"/>
          <w14:textFill>
            <w14:solidFill>
              <w14:schemeClr w14:val="tx1"/>
            </w14:solidFill>
          </w14:textFill>
        </w:rPr>
        <w:t>设置临时堆土场，</w:t>
      </w:r>
      <w:bookmarkEnd w:id="2"/>
      <w:bookmarkEnd w:id="3"/>
      <w:r>
        <w:rPr>
          <w:rFonts w:ascii="仿宋_GB2312" w:eastAsia="仿宋_GB2312" w:hAnsiTheme="minorEastAsia"/>
          <w:color w:val="000000" w:themeColor="text1"/>
          <w:kern w:val="0"/>
          <w:sz w:val="32"/>
          <w:szCs w:val="32"/>
          <w14:textFill>
            <w14:solidFill>
              <w14:schemeClr w14:val="tx1"/>
            </w14:solidFill>
          </w14:textFill>
        </w:rPr>
        <w:t>开采废土石由“运往加工区南侧的临时堆土场进行存放，用作矿区后期绿化用土”改为了用</w:t>
      </w:r>
      <w:r>
        <w:rPr>
          <w:rFonts w:hint="eastAsia" w:ascii="仿宋_GB2312" w:eastAsia="仿宋_GB2312" w:hAnsiTheme="minorEastAsia"/>
          <w:color w:val="000000" w:themeColor="text1"/>
          <w:kern w:val="0"/>
          <w:sz w:val="32"/>
          <w:szCs w:val="32"/>
          <w14:textFill>
            <w14:solidFill>
              <w14:schemeClr w14:val="tx1"/>
            </w14:solidFill>
          </w14:textFill>
        </w:rPr>
        <w:t>于</w:t>
      </w:r>
      <w:r>
        <w:rPr>
          <w:rFonts w:ascii="仿宋_GB2312" w:eastAsia="仿宋_GB2312" w:hAnsiTheme="minorEastAsia"/>
          <w:color w:val="000000" w:themeColor="text1"/>
          <w:kern w:val="0"/>
          <w:sz w:val="32"/>
          <w:szCs w:val="32"/>
          <w14:textFill>
            <w14:solidFill>
              <w14:schemeClr w14:val="tx1"/>
            </w14:solidFill>
          </w14:textFill>
        </w:rPr>
        <w:t>矿区堆场底部平整</w:t>
      </w:r>
      <w:r>
        <w:rPr>
          <w:rFonts w:hint="eastAsia" w:ascii="仿宋_GB2312" w:eastAsia="仿宋_GB2312" w:hAnsiTheme="minorEastAsia"/>
          <w:color w:val="000000" w:themeColor="text1"/>
          <w:kern w:val="0"/>
          <w:sz w:val="32"/>
          <w:szCs w:val="32"/>
          <w14:textFill>
            <w14:solidFill>
              <w14:schemeClr w14:val="tx1"/>
            </w14:solidFill>
          </w14:textFill>
        </w:rPr>
        <w:t>；</w:t>
      </w:r>
    </w:p>
    <w:p w14:paraId="69562EB5">
      <w:pPr>
        <w:pStyle w:val="38"/>
        <w:numPr>
          <w:ilvl w:val="0"/>
          <w:numId w:val="1"/>
        </w:numPr>
        <w:spacing w:line="560" w:lineRule="exact"/>
        <w:ind w:firstLine="640"/>
        <w:jc w:val="left"/>
        <w:outlineLvl w:val="0"/>
        <w:rPr>
          <w:rFonts w:ascii="仿宋_GB2312" w:eastAsia="仿宋_GB2312" w:hAnsiTheme="minorEastAsia"/>
          <w:color w:val="000000" w:themeColor="text1"/>
          <w:kern w:val="0"/>
          <w:sz w:val="32"/>
          <w:szCs w:val="32"/>
          <w14:textFill>
            <w14:solidFill>
              <w14:schemeClr w14:val="tx1"/>
            </w14:solidFill>
          </w14:textFill>
        </w:rPr>
      </w:pPr>
      <w:r>
        <w:rPr>
          <w:rFonts w:ascii="仿宋_GB2312" w:eastAsia="仿宋_GB2312" w:hAnsiTheme="minorEastAsia"/>
          <w:color w:val="000000" w:themeColor="text1"/>
          <w:kern w:val="0"/>
          <w:sz w:val="32"/>
          <w:szCs w:val="32"/>
          <w14:textFill>
            <w14:solidFill>
              <w14:schemeClr w14:val="tx1"/>
            </w14:solidFill>
          </w14:textFill>
        </w:rPr>
        <w:t>初期雨水经收集后排入三级沉淀池处理后回用场地内降尘；三级沉淀池容积</w:t>
      </w:r>
      <w:r>
        <w:rPr>
          <w:rFonts w:hint="eastAsia" w:ascii="仿宋_GB2312" w:eastAsia="仿宋_GB2312" w:hAnsiTheme="minorEastAsia"/>
          <w:color w:val="000000" w:themeColor="text1"/>
          <w:kern w:val="0"/>
          <w:sz w:val="32"/>
          <w:szCs w:val="32"/>
          <w14:textFill>
            <w14:solidFill>
              <w14:schemeClr w14:val="tx1"/>
            </w14:solidFill>
          </w14:textFill>
        </w:rPr>
        <w:t>由</w:t>
      </w:r>
      <w:r>
        <w:rPr>
          <w:rFonts w:ascii="仿宋_GB2312" w:eastAsia="仿宋_GB2312" w:hAnsiTheme="minorEastAsia"/>
          <w:color w:val="000000" w:themeColor="text1"/>
          <w:kern w:val="0"/>
          <w:sz w:val="32"/>
          <w:szCs w:val="32"/>
          <w14:textFill>
            <w14:solidFill>
              <w14:schemeClr w14:val="tx1"/>
            </w14:solidFill>
          </w14:textFill>
        </w:rPr>
        <w:t>环评的</w:t>
      </w:r>
      <w:r>
        <w:rPr>
          <w:rFonts w:hint="eastAsia" w:ascii="仿宋_GB2312" w:eastAsia="仿宋_GB2312" w:hAnsiTheme="minorEastAsia"/>
          <w:color w:val="000000" w:themeColor="text1"/>
          <w:kern w:val="0"/>
          <w:sz w:val="32"/>
          <w:szCs w:val="32"/>
          <w14:textFill>
            <w14:solidFill>
              <w14:schemeClr w14:val="tx1"/>
            </w14:solidFill>
          </w14:textFill>
        </w:rPr>
        <w:t>300</w:t>
      </w:r>
      <w:r>
        <w:rPr>
          <w:rFonts w:ascii="仿宋_GB2312" w:eastAsia="仿宋_GB2312" w:hAnsiTheme="minorEastAsia"/>
          <w:color w:val="000000" w:themeColor="text1"/>
          <w:kern w:val="0"/>
          <w:sz w:val="32"/>
          <w:szCs w:val="32"/>
          <w14:textFill>
            <w14:solidFill>
              <w14:schemeClr w14:val="tx1"/>
            </w14:solidFill>
          </w14:textFill>
        </w:rPr>
        <w:t>m</w:t>
      </w:r>
      <w:r>
        <w:rPr>
          <w:rFonts w:ascii="仿宋_GB2312" w:eastAsia="仿宋_GB2312" w:hAnsiTheme="minorEastAsia"/>
          <w:color w:val="000000" w:themeColor="text1"/>
          <w:kern w:val="0"/>
          <w:sz w:val="32"/>
          <w:szCs w:val="32"/>
          <w:vertAlign w:val="superscript"/>
          <w14:textFill>
            <w14:solidFill>
              <w14:schemeClr w14:val="tx1"/>
            </w14:solidFill>
          </w14:textFill>
        </w:rPr>
        <w:t>3</w:t>
      </w:r>
      <w:r>
        <w:rPr>
          <w:rFonts w:ascii="仿宋_GB2312" w:eastAsia="仿宋_GB2312" w:hAnsiTheme="minorEastAsia"/>
          <w:color w:val="000000" w:themeColor="text1"/>
          <w:kern w:val="0"/>
          <w:sz w:val="32"/>
          <w:szCs w:val="32"/>
          <w14:textFill>
            <w14:solidFill>
              <w14:schemeClr w14:val="tx1"/>
            </w14:solidFill>
          </w14:textFill>
        </w:rPr>
        <w:t>增大为630m</w:t>
      </w:r>
      <w:r>
        <w:rPr>
          <w:rFonts w:ascii="仿宋_GB2312" w:eastAsia="仿宋_GB2312" w:hAnsiTheme="minorEastAsia"/>
          <w:color w:val="000000" w:themeColor="text1"/>
          <w:kern w:val="0"/>
          <w:sz w:val="32"/>
          <w:szCs w:val="32"/>
          <w:vertAlign w:val="superscript"/>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w:t>
      </w:r>
    </w:p>
    <w:p w14:paraId="732830B3">
      <w:pPr>
        <w:pStyle w:val="38"/>
        <w:numPr>
          <w:ilvl w:val="0"/>
          <w:numId w:val="1"/>
        </w:numPr>
        <w:spacing w:line="560" w:lineRule="exact"/>
        <w:ind w:firstLine="640"/>
        <w:jc w:val="left"/>
        <w:outlineLvl w:val="0"/>
        <w:rPr>
          <w:rFonts w:ascii="仿宋_GB2312" w:eastAsia="仿宋_GB2312" w:hAnsiTheme="minorEastAsia"/>
          <w:color w:val="000000" w:themeColor="text1"/>
          <w:kern w:val="0"/>
          <w:sz w:val="32"/>
          <w:szCs w:val="32"/>
          <w14:textFill>
            <w14:solidFill>
              <w14:schemeClr w14:val="tx1"/>
            </w14:solidFill>
          </w14:textFill>
        </w:rPr>
      </w:pPr>
      <w:r>
        <w:rPr>
          <w:rFonts w:ascii="仿宋_GB2312" w:eastAsia="仿宋_GB2312" w:hAnsiTheme="minorEastAsia"/>
          <w:color w:val="000000" w:themeColor="text1"/>
          <w:kern w:val="0"/>
          <w:sz w:val="32"/>
          <w:szCs w:val="32"/>
          <w14:textFill>
            <w14:solidFill>
              <w14:schemeClr w14:val="tx1"/>
            </w14:solidFill>
          </w14:textFill>
        </w:rPr>
        <w:t>生产设备为提高生产效率并结合实际生产需求进行了更新调整（装载机+2台、凿岩机-2台、空气压缩机-2台、自卸汽车-5辆、液压破碎锤+1台、推土机-1台；圆锥破碎机+2台、圆振筛+1台、皮带运输机-6台、振动给料机-1</w:t>
      </w:r>
      <w:r>
        <w:rPr>
          <w:rFonts w:hint="eastAsia" w:ascii="仿宋_GB2312" w:eastAsia="仿宋_GB2312" w:hAnsiTheme="minorEastAsia"/>
          <w:color w:val="000000" w:themeColor="text1"/>
          <w:kern w:val="0"/>
          <w:sz w:val="32"/>
          <w:szCs w:val="32"/>
          <w14:textFill>
            <w14:solidFill>
              <w14:schemeClr w14:val="tx1"/>
            </w14:solidFill>
          </w14:textFill>
        </w:rPr>
        <w:t>台）（“</w:t>
      </w:r>
      <w:r>
        <w:rPr>
          <w:rFonts w:ascii="仿宋_GB2312" w:eastAsia="仿宋_GB2312" w:hAnsiTheme="minorEastAsia"/>
          <w:color w:val="000000" w:themeColor="text1"/>
          <w:kern w:val="0"/>
          <w:sz w:val="32"/>
          <w:szCs w:val="32"/>
          <w14:textFill>
            <w14:solidFill>
              <w14:schemeClr w14:val="tx1"/>
            </w14:solidFill>
          </w14:textFill>
        </w:rPr>
        <w:t>+”</w:t>
      </w:r>
      <w:r>
        <w:rPr>
          <w:rFonts w:hint="eastAsia" w:ascii="仿宋_GB2312" w:eastAsia="仿宋_GB2312" w:hAnsiTheme="minorEastAsia"/>
          <w:color w:val="000000" w:themeColor="text1"/>
          <w:kern w:val="0"/>
          <w:sz w:val="32"/>
          <w:szCs w:val="32"/>
          <w14:textFill>
            <w14:solidFill>
              <w14:schemeClr w14:val="tx1"/>
            </w14:solidFill>
          </w14:textFill>
        </w:rPr>
        <w:t>表示</w:t>
      </w:r>
      <w:r>
        <w:rPr>
          <w:rFonts w:ascii="仿宋_GB2312" w:eastAsia="仿宋_GB2312" w:hAnsiTheme="minorEastAsia"/>
          <w:color w:val="000000" w:themeColor="text1"/>
          <w:kern w:val="0"/>
          <w:sz w:val="32"/>
          <w:szCs w:val="32"/>
          <w14:textFill>
            <w14:solidFill>
              <w14:schemeClr w14:val="tx1"/>
            </w14:solidFill>
          </w14:textFill>
        </w:rPr>
        <w:t>较环评增加，</w:t>
      </w:r>
      <w:r>
        <w:rPr>
          <w:rFonts w:hint="eastAsia" w:ascii="仿宋_GB2312" w:eastAsia="仿宋_GB2312" w:hAnsiTheme="minorEastAsia"/>
          <w:color w:val="000000" w:themeColor="text1"/>
          <w:kern w:val="0"/>
          <w:sz w:val="32"/>
          <w:szCs w:val="32"/>
          <w14:textFill>
            <w14:solidFill>
              <w14:schemeClr w14:val="tx1"/>
            </w14:solidFill>
          </w14:textFill>
        </w:rPr>
        <w:t>“</w:t>
      </w:r>
      <w:r>
        <w:rPr>
          <w:rFonts w:ascii="仿宋_GB2312" w:eastAsia="仿宋_GB2312" w:hAnsiTheme="minorEastAsia"/>
          <w:color w:val="000000" w:themeColor="text1"/>
          <w:kern w:val="0"/>
          <w:sz w:val="32"/>
          <w:szCs w:val="32"/>
          <w14:textFill>
            <w14:solidFill>
              <w14:schemeClr w14:val="tx1"/>
            </w14:solidFill>
          </w14:textFill>
        </w:rPr>
        <w:t>-”</w:t>
      </w:r>
      <w:r>
        <w:rPr>
          <w:rFonts w:hint="eastAsia" w:ascii="仿宋_GB2312" w:eastAsia="仿宋_GB2312" w:hAnsiTheme="minorEastAsia"/>
          <w:color w:val="000000" w:themeColor="text1"/>
          <w:kern w:val="0"/>
          <w:sz w:val="32"/>
          <w:szCs w:val="32"/>
          <w14:textFill>
            <w14:solidFill>
              <w14:schemeClr w14:val="tx1"/>
            </w14:solidFill>
          </w14:textFill>
        </w:rPr>
        <w:t>表示</w:t>
      </w:r>
      <w:r>
        <w:rPr>
          <w:rFonts w:ascii="仿宋_GB2312" w:eastAsia="仿宋_GB2312" w:hAnsiTheme="minorEastAsia"/>
          <w:color w:val="000000" w:themeColor="text1"/>
          <w:kern w:val="0"/>
          <w:sz w:val="32"/>
          <w:szCs w:val="32"/>
          <w14:textFill>
            <w14:solidFill>
              <w14:schemeClr w14:val="tx1"/>
            </w14:solidFill>
          </w14:textFill>
        </w:rPr>
        <w:t>较环评</w:t>
      </w:r>
      <w:r>
        <w:rPr>
          <w:rFonts w:hint="eastAsia" w:ascii="仿宋_GB2312" w:eastAsia="仿宋_GB2312" w:hAnsiTheme="minorEastAsia"/>
          <w:color w:val="000000" w:themeColor="text1"/>
          <w:kern w:val="0"/>
          <w:sz w:val="32"/>
          <w:szCs w:val="32"/>
          <w14:textFill>
            <w14:solidFill>
              <w14:schemeClr w14:val="tx1"/>
            </w14:solidFill>
          </w14:textFill>
        </w:rPr>
        <w:t>减少</w:t>
      </w:r>
      <w:r>
        <w:rPr>
          <w:rFonts w:ascii="仿宋_GB2312" w:eastAsia="仿宋_GB2312" w:hAnsiTheme="minorEastAsia"/>
          <w:color w:val="000000" w:themeColor="text1"/>
          <w:kern w:val="0"/>
          <w:sz w:val="32"/>
          <w:szCs w:val="32"/>
          <w14:textFill>
            <w14:solidFill>
              <w14:schemeClr w14:val="tx1"/>
            </w14:solidFill>
          </w14:textFill>
        </w:rPr>
        <w:t>）</w:t>
      </w:r>
      <w:r>
        <w:rPr>
          <w:rFonts w:hint="eastAsia" w:ascii="仿宋_GB2312" w:eastAsia="仿宋_GB2312" w:hAnsiTheme="minorEastAsia"/>
          <w:color w:val="000000" w:themeColor="text1"/>
          <w:kern w:val="0"/>
          <w:sz w:val="32"/>
          <w:szCs w:val="32"/>
          <w14:textFill>
            <w14:solidFill>
              <w14:schemeClr w14:val="tx1"/>
            </w14:solidFill>
          </w14:textFill>
        </w:rPr>
        <w:t>。</w:t>
      </w:r>
    </w:p>
    <w:p w14:paraId="3266B784">
      <w:pPr>
        <w:spacing w:line="560" w:lineRule="exact"/>
        <w:ind w:firstLine="640" w:firstLineChars="200"/>
        <w:rPr>
          <w:rFonts w:hint="eastAsia"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以上变动不属于重大变动。</w:t>
      </w:r>
    </w:p>
    <w:p w14:paraId="07780B1C">
      <w:pPr>
        <w:pStyle w:val="38"/>
        <w:spacing w:line="560" w:lineRule="exact"/>
        <w:ind w:firstLine="643"/>
        <w:jc w:val="left"/>
        <w:outlineLvl w:val="0"/>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三、环境保护设施建设情况</w:t>
      </w:r>
    </w:p>
    <w:p w14:paraId="234EE3FA">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（一）废水</w:t>
      </w:r>
    </w:p>
    <w:p w14:paraId="248CA724">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排放情况：本项目废水主要包括</w:t>
      </w:r>
      <w:bookmarkStart w:id="4" w:name="OLE_LINK6"/>
      <w:bookmarkStart w:id="5" w:name="OLE_LINK5"/>
      <w:r>
        <w:rPr>
          <w:rFonts w:hint="eastAsia" w:ascii="仿宋_GB2312" w:eastAsia="仿宋_GB2312" w:hAnsiTheme="minorEastAsia"/>
          <w:color w:val="000000" w:themeColor="text1"/>
          <w:kern w:val="0"/>
          <w:sz w:val="32"/>
          <w:szCs w:val="32"/>
          <w14:textFill>
            <w14:solidFill>
              <w14:schemeClr w14:val="tx1"/>
            </w14:solidFill>
          </w14:textFill>
        </w:rPr>
        <w:t>初期雨水</w:t>
      </w:r>
      <w:bookmarkEnd w:id="4"/>
      <w:bookmarkEnd w:id="5"/>
      <w:r>
        <w:rPr>
          <w:rFonts w:hint="eastAsia" w:ascii="仿宋_GB2312" w:eastAsia="仿宋_GB2312" w:hAnsiTheme="minorEastAsia"/>
          <w:color w:val="000000" w:themeColor="text1"/>
          <w:kern w:val="0"/>
          <w:sz w:val="32"/>
          <w:szCs w:val="32"/>
          <w14:textFill>
            <w14:solidFill>
              <w14:schemeClr w14:val="tx1"/>
            </w14:solidFill>
          </w14:textFill>
        </w:rPr>
        <w:t>、</w:t>
      </w:r>
      <w:r>
        <w:rPr>
          <w:rFonts w:ascii="仿宋_GB2312" w:eastAsia="仿宋_GB2312" w:hAnsiTheme="minorEastAsia"/>
          <w:color w:val="000000" w:themeColor="text1"/>
          <w:kern w:val="0"/>
          <w:sz w:val="32"/>
          <w:szCs w:val="32"/>
          <w14:textFill>
            <w14:solidFill>
              <w14:schemeClr w14:val="tx1"/>
            </w14:solidFill>
          </w14:textFill>
        </w:rPr>
        <w:t>车辆清洗废水</w:t>
      </w:r>
      <w:r>
        <w:rPr>
          <w:rFonts w:hint="eastAsia" w:ascii="仿宋_GB2312" w:eastAsia="仿宋_GB2312" w:hAnsiTheme="minorEastAsia"/>
          <w:color w:val="000000" w:themeColor="text1"/>
          <w:kern w:val="0"/>
          <w:sz w:val="32"/>
          <w:szCs w:val="32"/>
          <w14:textFill>
            <w14:solidFill>
              <w14:schemeClr w14:val="tx1"/>
            </w14:solidFill>
          </w14:textFill>
        </w:rPr>
        <w:t>、无以及员工生活污水。</w:t>
      </w:r>
    </w:p>
    <w:p w14:paraId="31917A51">
      <w:pPr>
        <w:pStyle w:val="50"/>
        <w:ind w:firstLine="64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cs="Times New Roman" w:hAnsiTheme="minorEastAsia"/>
          <w:color w:val="000000" w:themeColor="text1"/>
          <w:kern w:val="0"/>
          <w:sz w:val="32"/>
          <w:szCs w:val="32"/>
          <w14:textFill>
            <w14:solidFill>
              <w14:schemeClr w14:val="tx1"/>
            </w14:solidFill>
          </w14:textFill>
        </w:rPr>
        <w:t>治理措施：</w:t>
      </w:r>
      <w:r>
        <w:rPr>
          <w:rFonts w:hint="eastAsia" w:ascii="仿宋_GB2312" w:eastAsia="仿宋_GB2312" w:hAnsiTheme="minorEastAsia"/>
          <w:color w:val="000000" w:themeColor="text1"/>
          <w:kern w:val="0"/>
          <w:sz w:val="32"/>
          <w:szCs w:val="32"/>
          <w14:textFill>
            <w14:solidFill>
              <w14:schemeClr w14:val="tx1"/>
            </w14:solidFill>
          </w14:textFill>
        </w:rPr>
        <w:t>①</w:t>
      </w:r>
      <w:r>
        <w:rPr>
          <w:rFonts w:ascii="仿宋_GB2312" w:eastAsia="仿宋_GB2312" w:cs="Times New Roman" w:hAnsiTheme="minorEastAsia"/>
          <w:color w:val="000000" w:themeColor="text1"/>
          <w:kern w:val="0"/>
          <w:sz w:val="32"/>
          <w:szCs w:val="32"/>
          <w14:textFill>
            <w14:solidFill>
              <w14:schemeClr w14:val="tx1"/>
            </w14:solidFill>
          </w14:textFill>
        </w:rPr>
        <w:t>项目在采区沿场界内侧修筑有截排水沟，该截排水沟连接办公生活区和破碎站碎石堆场周边排水沟汇流至矿区南侧的沉淀池,经沉淀后回用场地内降尘，不外排</w:t>
      </w:r>
      <w:r>
        <w:rPr>
          <w:rFonts w:hint="eastAsia" w:ascii="仿宋_GB2312" w:eastAsia="仿宋_GB2312" w:cs="Times New Roman" w:hAnsiTheme="minorEastAsia"/>
          <w:color w:val="000000" w:themeColor="text1"/>
          <w:kern w:val="0"/>
          <w:sz w:val="32"/>
          <w:szCs w:val="32"/>
          <w14:textFill>
            <w14:solidFill>
              <w14:schemeClr w14:val="tx1"/>
            </w14:solidFill>
          </w14:textFill>
        </w:rPr>
        <w:t>。</w:t>
      </w:r>
      <w:r>
        <w:rPr>
          <w:rFonts w:hint="eastAsia" w:ascii="仿宋_GB2312" w:eastAsia="仿宋_GB2312" w:hAnsiTheme="minorEastAsia"/>
          <w:color w:val="000000" w:themeColor="text1"/>
          <w:kern w:val="0"/>
          <w:sz w:val="32"/>
          <w:szCs w:val="32"/>
          <w14:textFill>
            <w14:solidFill>
              <w14:schemeClr w14:val="tx1"/>
            </w14:solidFill>
          </w14:textFill>
        </w:rPr>
        <w:t>②员工生活污</w:t>
      </w:r>
      <w:r>
        <w:rPr>
          <w:rFonts w:hint="eastAsia" w:ascii="仿宋_GB2312" w:eastAsia="仿宋_GB2312" w:cs="Times New Roman" w:hAnsiTheme="minorEastAsia"/>
          <w:color w:val="000000" w:themeColor="text1"/>
          <w:kern w:val="0"/>
          <w:sz w:val="32"/>
          <w:szCs w:val="32"/>
          <w14:textFill>
            <w14:solidFill>
              <w14:schemeClr w14:val="tx1"/>
            </w14:solidFill>
          </w14:textFill>
        </w:rPr>
        <w:t>水经一体化污水处理设施处理后回用于</w:t>
      </w:r>
      <w:r>
        <w:rPr>
          <w:rFonts w:ascii="仿宋_GB2312" w:eastAsia="仿宋_GB2312" w:cs="Times New Roman" w:hAnsiTheme="minorEastAsia"/>
          <w:color w:val="000000" w:themeColor="text1"/>
          <w:kern w:val="0"/>
          <w:sz w:val="32"/>
          <w:szCs w:val="32"/>
          <w14:textFill>
            <w14:solidFill>
              <w14:schemeClr w14:val="tx1"/>
            </w14:solidFill>
          </w14:textFill>
        </w:rPr>
        <w:t>周围林地浇灌，不外排</w:t>
      </w:r>
      <w:r>
        <w:rPr>
          <w:rFonts w:hint="eastAsia" w:ascii="仿宋_GB2312" w:eastAsia="仿宋_GB2312" w:cs="Times New Roman" w:hAnsiTheme="minorEastAsia"/>
          <w:color w:val="000000" w:themeColor="text1"/>
          <w:kern w:val="0"/>
          <w:sz w:val="32"/>
          <w:szCs w:val="32"/>
          <w14:textFill>
            <w14:solidFill>
              <w14:schemeClr w14:val="tx1"/>
            </w14:solidFill>
          </w14:textFill>
        </w:rPr>
        <w:t>。</w:t>
      </w:r>
      <w:r>
        <w:rPr>
          <w:rFonts w:hint="eastAsia" w:ascii="仿宋_GB2312" w:eastAsia="仿宋_GB2312" w:hAnsiTheme="minorEastAsia"/>
          <w:color w:val="000000" w:themeColor="text1"/>
          <w:kern w:val="0"/>
          <w:sz w:val="32"/>
          <w:szCs w:val="32"/>
          <w14:textFill>
            <w14:solidFill>
              <w14:schemeClr w14:val="tx1"/>
            </w14:solidFill>
          </w14:textFill>
        </w:rPr>
        <w:t>③</w:t>
      </w:r>
      <w:r>
        <w:rPr>
          <w:rFonts w:ascii="仿宋_GB2312" w:eastAsia="仿宋_GB2312" w:cs="Times New Roman" w:hAnsiTheme="minorEastAsia"/>
          <w:color w:val="000000" w:themeColor="text1"/>
          <w:kern w:val="0"/>
          <w:sz w:val="32"/>
          <w:szCs w:val="32"/>
          <w14:textFill>
            <w14:solidFill>
              <w14:schemeClr w14:val="tx1"/>
            </w14:solidFill>
          </w14:textFill>
        </w:rPr>
        <w:t>清洗废水经收集后，进行隔油沉淀处理，回用于车辆冲洗，不外排</w:t>
      </w:r>
      <w:r>
        <w:rPr>
          <w:rFonts w:hint="eastAsia" w:ascii="仿宋_GB2312" w:eastAsia="仿宋_GB2312" w:cs="Times New Roman" w:hAnsiTheme="minorEastAsia"/>
          <w:color w:val="000000" w:themeColor="text1"/>
          <w:kern w:val="0"/>
          <w:sz w:val="32"/>
          <w:szCs w:val="32"/>
          <w14:textFill>
            <w14:solidFill>
              <w14:schemeClr w14:val="tx1"/>
            </w14:solidFill>
          </w14:textFill>
        </w:rPr>
        <w:t>。</w:t>
      </w:r>
    </w:p>
    <w:p w14:paraId="487C9104">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（二）废气</w:t>
      </w:r>
    </w:p>
    <w:p w14:paraId="232524AC">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排放情况：本项目大气污染源主要为</w:t>
      </w:r>
      <w:r>
        <w:rPr>
          <w:rFonts w:ascii="仿宋_GB2312" w:eastAsia="仿宋_GB2312" w:hAnsiTheme="minorEastAsia"/>
          <w:color w:val="000000" w:themeColor="text1"/>
          <w:kern w:val="0"/>
          <w:sz w:val="32"/>
          <w:szCs w:val="32"/>
          <w14:textFill>
            <w14:solidFill>
              <w14:schemeClr w14:val="tx1"/>
            </w14:solidFill>
          </w14:textFill>
        </w:rPr>
        <w:t>粉尘废气、运输车辆尾气、爆破废气、食堂油烟</w:t>
      </w:r>
      <w:r>
        <w:rPr>
          <w:rFonts w:hint="eastAsia" w:ascii="仿宋_GB2312" w:eastAsia="仿宋_GB2312" w:hAnsiTheme="minorEastAsia"/>
          <w:color w:val="000000" w:themeColor="text1"/>
          <w:kern w:val="0"/>
          <w:sz w:val="32"/>
          <w:szCs w:val="32"/>
          <w14:textFill>
            <w14:solidFill>
              <w14:schemeClr w14:val="tx1"/>
            </w14:solidFill>
          </w14:textFill>
        </w:rPr>
        <w:t>。</w:t>
      </w:r>
    </w:p>
    <w:p w14:paraId="2EE6B592">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治理措施：①</w:t>
      </w:r>
      <w:r>
        <w:rPr>
          <w:rFonts w:ascii="仿宋_GB2312" w:eastAsia="仿宋_GB2312" w:hAnsiTheme="minorEastAsia"/>
          <w:color w:val="000000" w:themeColor="text1"/>
          <w:kern w:val="0"/>
          <w:sz w:val="32"/>
          <w:szCs w:val="32"/>
          <w14:textFill>
            <w14:solidFill>
              <w14:schemeClr w14:val="tx1"/>
            </w14:solidFill>
          </w14:textFill>
        </w:rPr>
        <w:t>露天采场</w:t>
      </w:r>
      <w:r>
        <w:rPr>
          <w:rFonts w:hint="eastAsia" w:ascii="仿宋_GB2312" w:eastAsia="仿宋_GB2312" w:hAnsiTheme="minorEastAsia"/>
          <w:color w:val="000000" w:themeColor="text1"/>
          <w:kern w:val="0"/>
          <w:sz w:val="32"/>
          <w:szCs w:val="32"/>
          <w14:textFill>
            <w14:solidFill>
              <w14:schemeClr w14:val="tx1"/>
            </w14:solidFill>
          </w14:textFill>
        </w:rPr>
        <w:t>：</w:t>
      </w:r>
      <w:r>
        <w:rPr>
          <w:rFonts w:ascii="仿宋_GB2312" w:eastAsia="仿宋_GB2312" w:hAnsiTheme="minorEastAsia"/>
          <w:color w:val="000000" w:themeColor="text1"/>
          <w:kern w:val="0"/>
          <w:sz w:val="32"/>
          <w:szCs w:val="32"/>
          <w14:textFill>
            <w14:solidFill>
              <w14:schemeClr w14:val="tx1"/>
            </w14:solidFill>
          </w14:textFill>
        </w:rPr>
        <w:t>在表土剥离过程中进行洒水降尘，钻机配备捕尘器，使用爆破前后的洒水和水封爆破作业，对装卸石料洒水保湿，开采作业场地和运输道路进行洒水降尘</w:t>
      </w:r>
      <w:r>
        <w:rPr>
          <w:rFonts w:hint="eastAsia" w:ascii="仿宋_GB2312" w:eastAsia="仿宋_GB2312" w:hAnsiTheme="minorEastAsia"/>
          <w:color w:val="000000" w:themeColor="text1"/>
          <w:kern w:val="0"/>
          <w:sz w:val="32"/>
          <w:szCs w:val="32"/>
          <w14:textFill>
            <w14:solidFill>
              <w14:schemeClr w14:val="tx1"/>
            </w14:solidFill>
          </w14:textFill>
        </w:rPr>
        <w:t>。②</w:t>
      </w:r>
      <w:r>
        <w:rPr>
          <w:rFonts w:ascii="仿宋_GB2312" w:eastAsia="仿宋_GB2312" w:hAnsiTheme="minorEastAsia"/>
          <w:color w:val="000000" w:themeColor="text1"/>
          <w:kern w:val="0"/>
          <w:sz w:val="32"/>
          <w:szCs w:val="32"/>
          <w14:textFill>
            <w14:solidFill>
              <w14:schemeClr w14:val="tx1"/>
            </w14:solidFill>
          </w14:textFill>
        </w:rPr>
        <w:t>在进料口处增加喷水设施，给料机设置在破碎厂房内，破碎厂房为封闭式，只有进出口处</w:t>
      </w:r>
      <w:r>
        <w:rPr>
          <w:rFonts w:hint="eastAsia" w:ascii="仿宋_GB2312" w:eastAsia="仿宋_GB2312" w:hAnsiTheme="minorEastAsia"/>
          <w:color w:val="000000" w:themeColor="text1"/>
          <w:kern w:val="0"/>
          <w:sz w:val="32"/>
          <w:szCs w:val="32"/>
          <w14:textFill>
            <w14:solidFill>
              <w14:schemeClr w14:val="tx1"/>
            </w14:solidFill>
          </w14:textFill>
        </w:rPr>
        <w:t>粉尘</w:t>
      </w:r>
      <w:r>
        <w:rPr>
          <w:rFonts w:ascii="仿宋_GB2312" w:eastAsia="仿宋_GB2312" w:hAnsiTheme="minorEastAsia"/>
          <w:color w:val="000000" w:themeColor="text1"/>
          <w:kern w:val="0"/>
          <w:sz w:val="32"/>
          <w:szCs w:val="32"/>
          <w14:textFill>
            <w14:solidFill>
              <w14:schemeClr w14:val="tx1"/>
            </w14:solidFill>
          </w14:textFill>
        </w:rPr>
        <w:t>会逸散出破碎厂房，</w:t>
      </w:r>
      <w:r>
        <w:rPr>
          <w:rFonts w:hint="eastAsia" w:ascii="仿宋_GB2312" w:eastAsia="仿宋_GB2312" w:hAnsiTheme="minorEastAsia"/>
          <w:color w:val="000000" w:themeColor="text1"/>
          <w:kern w:val="0"/>
          <w:sz w:val="32"/>
          <w:szCs w:val="32"/>
          <w14:textFill>
            <w14:solidFill>
              <w14:schemeClr w14:val="tx1"/>
            </w14:solidFill>
          </w14:textFill>
        </w:rPr>
        <w:t>项目</w:t>
      </w:r>
      <w:r>
        <w:rPr>
          <w:rFonts w:ascii="仿宋_GB2312" w:eastAsia="仿宋_GB2312" w:hAnsiTheme="minorEastAsia"/>
          <w:color w:val="000000" w:themeColor="text1"/>
          <w:kern w:val="0"/>
          <w:sz w:val="32"/>
          <w:szCs w:val="32"/>
          <w14:textFill>
            <w14:solidFill>
              <w14:schemeClr w14:val="tx1"/>
            </w14:solidFill>
          </w14:textFill>
        </w:rPr>
        <w:t>在厂房内产尘节点处设置洒水降尘</w:t>
      </w:r>
      <w:r>
        <w:rPr>
          <w:rFonts w:hint="eastAsia" w:ascii="仿宋_GB2312" w:eastAsia="仿宋_GB2312" w:hAnsiTheme="minorEastAsia"/>
          <w:color w:val="000000" w:themeColor="text1"/>
          <w:kern w:val="0"/>
          <w:sz w:val="32"/>
          <w:szCs w:val="32"/>
          <w14:textFill>
            <w14:solidFill>
              <w14:schemeClr w14:val="tx1"/>
            </w14:solidFill>
          </w14:textFill>
        </w:rPr>
        <w:t>。</w:t>
      </w:r>
      <w:r>
        <w:rPr>
          <w:rFonts w:ascii="仿宋_GB2312" w:eastAsia="仿宋_GB2312" w:hAnsiTheme="minorEastAsia"/>
          <w:color w:val="000000" w:themeColor="text1"/>
          <w:kern w:val="0"/>
          <w:sz w:val="32"/>
          <w:szCs w:val="32"/>
          <w14:textFill>
            <w14:solidFill>
              <w14:schemeClr w14:val="tx1"/>
            </w14:solidFill>
          </w14:textFill>
        </w:rPr>
        <w:t>筛分厂房内粉尘采用雾炮机进行喷淋降尘，厂房为封闭式，且在厂房内产尘节点处设置洒水降尘。皮带输送防尘主要是输送带密闭，进出料口增加喷雾头，输送带落料口增设溜槽</w:t>
      </w:r>
      <w:r>
        <w:rPr>
          <w:rFonts w:ascii="仿宋_GB2312" w:eastAsia="仿宋_GB2312" w:hAnsiTheme="minorEastAsia"/>
          <w:kern w:val="0"/>
          <w:sz w:val="32"/>
          <w:szCs w:val="32"/>
        </w:rPr>
        <w:t>。产品堆场安装炮雾机喷雾洒水降尘</w:t>
      </w:r>
      <w:r>
        <w:rPr>
          <w:rFonts w:hint="eastAsia" w:ascii="仿宋_GB2312" w:eastAsia="仿宋_GB2312" w:hAnsiTheme="minorEastAsia"/>
          <w:kern w:val="0"/>
          <w:sz w:val="32"/>
          <w:szCs w:val="32"/>
        </w:rPr>
        <w:t>。</w:t>
      </w:r>
      <w:r>
        <w:rPr>
          <w:rFonts w:hint="eastAsia" w:ascii="仿宋_GB2312" w:eastAsia="仿宋_GB2312" w:hAnsiTheme="minorEastAsia"/>
          <w:color w:val="000000" w:themeColor="text1"/>
          <w:kern w:val="0"/>
          <w:sz w:val="32"/>
          <w:szCs w:val="32"/>
          <w14:textFill>
            <w14:solidFill>
              <w14:schemeClr w14:val="tx1"/>
            </w14:solidFill>
          </w14:textFill>
        </w:rPr>
        <w:t>③</w:t>
      </w:r>
      <w:r>
        <w:rPr>
          <w:rFonts w:ascii="仿宋_GB2312" w:eastAsia="仿宋_GB2312" w:hAnsiTheme="minorEastAsia"/>
          <w:color w:val="000000" w:themeColor="text1"/>
          <w:kern w:val="0"/>
          <w:sz w:val="32"/>
          <w:szCs w:val="32"/>
          <w14:textFill>
            <w14:solidFill>
              <w14:schemeClr w14:val="tx1"/>
            </w14:solidFill>
          </w14:textFill>
        </w:rPr>
        <w:t>食堂油烟经油烟净化器处理后经烟道高空排放</w:t>
      </w:r>
      <w:r>
        <w:rPr>
          <w:rFonts w:hint="eastAsia" w:ascii="仿宋_GB2312" w:eastAsia="仿宋_GB2312" w:hAnsiTheme="minorEastAsia"/>
          <w:color w:val="000000" w:themeColor="text1"/>
          <w:kern w:val="0"/>
          <w:sz w:val="32"/>
          <w:szCs w:val="32"/>
          <w14:textFill>
            <w14:solidFill>
              <w14:schemeClr w14:val="tx1"/>
            </w14:solidFill>
          </w14:textFill>
        </w:rPr>
        <w:t>。</w:t>
      </w:r>
    </w:p>
    <w:p w14:paraId="76D17B23">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（三）噪声</w:t>
      </w:r>
    </w:p>
    <w:p w14:paraId="5D6DF496">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排放情况：本项目噪声源为开采环节、工业场地产生的机械噪声及运输噪声。</w:t>
      </w:r>
    </w:p>
    <w:p w14:paraId="67F6F70C">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治理措施：①选用低噪声设备；②</w:t>
      </w:r>
      <w:r>
        <w:rPr>
          <w:rFonts w:ascii="仿宋_GB2312" w:eastAsia="仿宋_GB2312" w:hAnsiTheme="minorEastAsia"/>
          <w:color w:val="000000" w:themeColor="text1"/>
          <w:kern w:val="0"/>
          <w:sz w:val="32"/>
          <w:szCs w:val="32"/>
          <w14:textFill>
            <w14:solidFill>
              <w14:schemeClr w14:val="tx1"/>
            </w14:solidFill>
          </w14:textFill>
        </w:rPr>
        <w:t>在出料口安装消声通道，防止内部噪声向外辐射</w:t>
      </w:r>
      <w:r>
        <w:rPr>
          <w:rFonts w:hint="eastAsia" w:ascii="仿宋_GB2312" w:eastAsia="仿宋_GB2312" w:hAnsiTheme="minorEastAsia"/>
          <w:color w:val="000000" w:themeColor="text1"/>
          <w:kern w:val="0"/>
          <w:sz w:val="32"/>
          <w:szCs w:val="32"/>
          <w14:textFill>
            <w14:solidFill>
              <w14:schemeClr w14:val="tx1"/>
            </w14:solidFill>
          </w14:textFill>
        </w:rPr>
        <w:t>，</w:t>
      </w:r>
      <w:r>
        <w:rPr>
          <w:rFonts w:ascii="仿宋_GB2312" w:eastAsia="仿宋_GB2312" w:hAnsiTheme="minorEastAsia"/>
          <w:color w:val="000000" w:themeColor="text1"/>
          <w:kern w:val="0"/>
          <w:sz w:val="32"/>
          <w:szCs w:val="32"/>
          <w14:textFill>
            <w14:solidFill>
              <w14:schemeClr w14:val="tx1"/>
            </w14:solidFill>
          </w14:textFill>
        </w:rPr>
        <w:t>在破碎机和支承结构之间安装具有高度内摩擦的材料作为衬垫，以减少振动的传递</w:t>
      </w:r>
      <w:r>
        <w:rPr>
          <w:rFonts w:hint="eastAsia" w:ascii="仿宋_GB2312" w:eastAsia="仿宋_GB2312" w:hAnsiTheme="minorEastAsia"/>
          <w:color w:val="000000" w:themeColor="text1"/>
          <w:kern w:val="0"/>
          <w:sz w:val="32"/>
          <w:szCs w:val="32"/>
          <w14:textFill>
            <w14:solidFill>
              <w14:schemeClr w14:val="tx1"/>
            </w14:solidFill>
          </w14:textFill>
        </w:rPr>
        <w:t>，</w:t>
      </w:r>
      <w:r>
        <w:rPr>
          <w:rFonts w:ascii="仿宋_GB2312" w:eastAsia="仿宋_GB2312" w:hAnsiTheme="minorEastAsia"/>
          <w:color w:val="000000" w:themeColor="text1"/>
          <w:kern w:val="0"/>
          <w:sz w:val="32"/>
          <w:szCs w:val="32"/>
          <w14:textFill>
            <w14:solidFill>
              <w14:schemeClr w14:val="tx1"/>
            </w14:solidFill>
          </w14:textFill>
        </w:rPr>
        <w:t>在所有破坏物料撞击处加装耐磨的橡胶作为衬板</w:t>
      </w:r>
      <w:r>
        <w:rPr>
          <w:rFonts w:hint="eastAsia" w:ascii="仿宋_GB2312" w:eastAsia="仿宋_GB2312" w:hAnsiTheme="minorEastAsia"/>
          <w:color w:val="000000" w:themeColor="text1"/>
          <w:kern w:val="0"/>
          <w:sz w:val="32"/>
          <w:szCs w:val="32"/>
          <w14:textFill>
            <w14:solidFill>
              <w14:schemeClr w14:val="tx1"/>
            </w14:solidFill>
          </w14:textFill>
        </w:rPr>
        <w:t>；④加强设备的维护和保养；⑤</w:t>
      </w:r>
      <w:r>
        <w:rPr>
          <w:rFonts w:ascii="仿宋_GB2312" w:eastAsia="仿宋_GB2312" w:hAnsiTheme="minorEastAsia"/>
          <w:color w:val="000000" w:themeColor="text1"/>
          <w:kern w:val="0"/>
          <w:sz w:val="32"/>
          <w:szCs w:val="32"/>
          <w14:textFill>
            <w14:solidFill>
              <w14:schemeClr w14:val="tx1"/>
            </w14:solidFill>
          </w14:textFill>
        </w:rPr>
        <w:t>破碎机安装在防振基座上</w:t>
      </w:r>
      <w:r>
        <w:rPr>
          <w:rFonts w:hint="eastAsia" w:ascii="仿宋_GB2312" w:eastAsia="仿宋_GB2312" w:hAnsiTheme="minorEastAsia"/>
          <w:color w:val="000000" w:themeColor="text1"/>
          <w:kern w:val="0"/>
          <w:sz w:val="32"/>
          <w:szCs w:val="32"/>
          <w14:textFill>
            <w14:solidFill>
              <w14:schemeClr w14:val="tx1"/>
            </w14:solidFill>
          </w14:textFill>
        </w:rPr>
        <w:t>。</w:t>
      </w:r>
    </w:p>
    <w:p w14:paraId="4B5555BD">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（四）固体废物</w:t>
      </w:r>
    </w:p>
    <w:p w14:paraId="265A7580">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排放情况：</w:t>
      </w:r>
      <w:bookmarkStart w:id="6" w:name="_Hlk153458344"/>
      <w:r>
        <w:rPr>
          <w:rFonts w:hint="eastAsia" w:ascii="仿宋_GB2312" w:eastAsia="仿宋_GB2312" w:hAnsiTheme="minorEastAsia"/>
          <w:color w:val="000000" w:themeColor="text1"/>
          <w:kern w:val="0"/>
          <w:sz w:val="32"/>
          <w:szCs w:val="32"/>
          <w14:textFill>
            <w14:solidFill>
              <w14:schemeClr w14:val="tx1"/>
            </w14:solidFill>
          </w14:textFill>
        </w:rPr>
        <w:t>本项目产生的固体废物主要覆盖层剥离土、沉砂池沉渣，机械设备维修过程中产生的废机油以及职工生活产生的生活垃圾。</w:t>
      </w:r>
      <w:bookmarkEnd w:id="6"/>
    </w:p>
    <w:p w14:paraId="6467A13B">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治理措施：①剥离表土</w:t>
      </w:r>
      <w:r>
        <w:rPr>
          <w:rFonts w:ascii="仿宋_GB2312" w:eastAsia="仿宋_GB2312" w:hAnsiTheme="minorEastAsia"/>
          <w:color w:val="000000" w:themeColor="text1"/>
          <w:kern w:val="0"/>
          <w:sz w:val="32"/>
          <w:szCs w:val="32"/>
          <w14:textFill>
            <w14:solidFill>
              <w14:schemeClr w14:val="tx1"/>
            </w14:solidFill>
          </w14:textFill>
        </w:rPr>
        <w:t>用</w:t>
      </w:r>
      <w:r>
        <w:rPr>
          <w:rFonts w:hint="eastAsia" w:ascii="仿宋_GB2312" w:eastAsia="仿宋_GB2312" w:hAnsiTheme="minorEastAsia"/>
          <w:color w:val="000000" w:themeColor="text1"/>
          <w:kern w:val="0"/>
          <w:sz w:val="32"/>
          <w:szCs w:val="32"/>
          <w14:textFill>
            <w14:solidFill>
              <w14:schemeClr w14:val="tx1"/>
            </w14:solidFill>
          </w14:textFill>
        </w:rPr>
        <w:t>于</w:t>
      </w:r>
      <w:r>
        <w:rPr>
          <w:rFonts w:ascii="仿宋_GB2312" w:eastAsia="仿宋_GB2312" w:hAnsiTheme="minorEastAsia"/>
          <w:color w:val="000000" w:themeColor="text1"/>
          <w:kern w:val="0"/>
          <w:sz w:val="32"/>
          <w:szCs w:val="32"/>
          <w14:textFill>
            <w14:solidFill>
              <w14:schemeClr w14:val="tx1"/>
            </w14:solidFill>
          </w14:textFill>
        </w:rPr>
        <w:t>矿区堆场底部平整</w:t>
      </w:r>
      <w:r>
        <w:rPr>
          <w:rFonts w:hint="eastAsia" w:ascii="仿宋_GB2312" w:eastAsia="仿宋_GB2312" w:hAnsiTheme="minorEastAsia"/>
          <w:color w:val="000000" w:themeColor="text1"/>
          <w:kern w:val="0"/>
          <w:sz w:val="32"/>
          <w:szCs w:val="32"/>
          <w14:textFill>
            <w14:solidFill>
              <w14:schemeClr w14:val="tx1"/>
            </w14:solidFill>
          </w14:textFill>
        </w:rPr>
        <w:t>；沉砂池沉渣回用于矿山填土；②危险废物定期交由有资质的单位处置；③职工生活垃圾交由环卫部门收集处理。</w:t>
      </w:r>
    </w:p>
    <w:p w14:paraId="1FE29D10">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（五）辐射</w:t>
      </w:r>
    </w:p>
    <w:p w14:paraId="53B04188">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不涉及。</w:t>
      </w:r>
    </w:p>
    <w:p w14:paraId="2BCEECA1">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（六）其他环境保护设施</w:t>
      </w:r>
    </w:p>
    <w:p w14:paraId="3C589762">
      <w:pPr>
        <w:spacing w:line="560" w:lineRule="exact"/>
        <w:ind w:firstLine="640" w:firstLineChars="200"/>
        <w:rPr>
          <w:rFonts w:ascii="仿宋_GB2312" w:eastAsia="仿宋_GB2312" w:cs="宋体" w:hAnsiTheme="minorEastAsia"/>
          <w:color w:val="000000" w:themeColor="text1"/>
          <w:kern w:val="0"/>
          <w:sz w:val="32"/>
          <w:szCs w:val="32"/>
          <w14:textFill>
            <w14:solidFill>
              <w14:schemeClr w14:val="tx1"/>
            </w14:solidFill>
          </w14:textFill>
        </w:rPr>
      </w:pPr>
      <w:r>
        <w:rPr>
          <w:rFonts w:ascii="仿宋_GB2312" w:eastAsia="仿宋_GB2312" w:cs="宋体" w:hAnsiTheme="minorEastAsia"/>
          <w:color w:val="000000" w:themeColor="text1"/>
          <w:kern w:val="0"/>
          <w:sz w:val="32"/>
          <w:szCs w:val="32"/>
          <w14:textFill>
            <w14:solidFill>
              <w14:schemeClr w14:val="tx1"/>
            </w14:solidFill>
          </w14:textFill>
        </w:rPr>
        <w:t>1.</w:t>
      </w:r>
      <w:r>
        <w:rPr>
          <w:rFonts w:hint="eastAsia" w:ascii="仿宋_GB2312" w:eastAsia="仿宋_GB2312" w:cs="宋体" w:hAnsiTheme="minorEastAsia"/>
          <w:color w:val="000000" w:themeColor="text1"/>
          <w:kern w:val="0"/>
          <w:sz w:val="32"/>
          <w:szCs w:val="32"/>
          <w14:textFill>
            <w14:solidFill>
              <w14:schemeClr w14:val="tx1"/>
            </w14:solidFill>
          </w14:textFill>
        </w:rPr>
        <w:t>环境风险防范设施</w:t>
      </w:r>
    </w:p>
    <w:p w14:paraId="19CDEB40">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cs="宋体" w:hAnsiTheme="minorEastAsia"/>
          <w:color w:val="000000" w:themeColor="text1"/>
          <w:kern w:val="0"/>
          <w:sz w:val="32"/>
          <w:szCs w:val="32"/>
          <w14:textFill>
            <w14:solidFill>
              <w14:schemeClr w14:val="tx1"/>
            </w14:solidFill>
          </w14:textFill>
        </w:rPr>
        <w:t>①本项目开采区严格按照开发利用方案的参数进行开采，修建截排水沟，做好边坡</w:t>
      </w:r>
      <w:r>
        <w:rPr>
          <w:rFonts w:hint="eastAsia" w:ascii="仿宋_GB2312" w:eastAsia="仿宋_GB2312" w:hAnsiTheme="minorEastAsia"/>
          <w:color w:val="000000" w:themeColor="text1"/>
          <w:kern w:val="0"/>
          <w:sz w:val="32"/>
          <w:szCs w:val="32"/>
          <w14:textFill>
            <w14:solidFill>
              <w14:schemeClr w14:val="tx1"/>
            </w14:solidFill>
          </w14:textFill>
        </w:rPr>
        <w:t>加固，加强矿山生产日常管理和维护工作，加强矿区地质监控等。</w:t>
      </w:r>
    </w:p>
    <w:p w14:paraId="60F368DE">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ascii="仿宋_GB2312" w:eastAsia="仿宋_GB2312" w:hAnsiTheme="minorEastAsia"/>
          <w:color w:val="000000" w:themeColor="text1"/>
          <w:kern w:val="0"/>
          <w:sz w:val="32"/>
          <w:szCs w:val="32"/>
          <w14:textFill>
            <w14:solidFill>
              <w14:schemeClr w14:val="tx1"/>
            </w14:solidFill>
          </w14:textFill>
        </w:rPr>
        <w:t>②</w:t>
      </w:r>
      <w:r>
        <w:rPr>
          <w:rFonts w:hint="eastAsia" w:ascii="仿宋_GB2312" w:eastAsia="仿宋_GB2312" w:hAnsiTheme="minorEastAsia"/>
          <w:color w:val="000000" w:themeColor="text1"/>
          <w:kern w:val="0"/>
          <w:sz w:val="32"/>
          <w:szCs w:val="32"/>
          <w14:textFill>
            <w14:solidFill>
              <w14:schemeClr w14:val="tx1"/>
            </w14:solidFill>
          </w14:textFill>
        </w:rPr>
        <w:t>本项目设置一间柴油发电机房，底部进行硬地化处理，</w:t>
      </w:r>
      <w:r>
        <w:rPr>
          <w:rFonts w:hint="eastAsia" w:ascii="仿宋_GB2312" w:eastAsia="仿宋_GB2312" w:hAnsiTheme="minorEastAsia"/>
          <w:kern w:val="0"/>
          <w:sz w:val="32"/>
          <w:szCs w:val="32"/>
        </w:rPr>
        <w:t>在柴油桶底部设置防泄漏托盘。</w:t>
      </w:r>
      <w:r>
        <w:rPr>
          <w:rFonts w:hint="eastAsia" w:ascii="仿宋_GB2312" w:eastAsia="仿宋_GB2312" w:hAnsiTheme="minorEastAsia"/>
          <w:color w:val="000000" w:themeColor="text1"/>
          <w:kern w:val="0"/>
          <w:sz w:val="32"/>
          <w:szCs w:val="32"/>
          <w14:textFill>
            <w14:solidFill>
              <w14:schemeClr w14:val="tx1"/>
            </w14:solidFill>
          </w14:textFill>
        </w:rPr>
        <w:t>出现大量泄漏时，利用消防沙进行吸附和围堵。</w:t>
      </w:r>
    </w:p>
    <w:p w14:paraId="463D99BC">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③本项目设置有危废暂存间，已按照防风、防雨、防晒以及</w:t>
      </w:r>
      <w:r>
        <w:rPr>
          <w:rFonts w:ascii="仿宋_GB2312" w:eastAsia="仿宋_GB2312" w:hAnsiTheme="minorEastAsia"/>
          <w:color w:val="000000" w:themeColor="text1"/>
          <w:kern w:val="0"/>
          <w:sz w:val="32"/>
          <w:szCs w:val="32"/>
          <w14:textFill>
            <w14:solidFill>
              <w14:schemeClr w14:val="tx1"/>
            </w14:solidFill>
          </w14:textFill>
        </w:rPr>
        <w:t>防渗透、防泄漏措施</w:t>
      </w:r>
      <w:r>
        <w:rPr>
          <w:rFonts w:hint="eastAsia" w:ascii="仿宋_GB2312" w:eastAsia="仿宋_GB2312" w:hAnsiTheme="minorEastAsia"/>
          <w:color w:val="000000" w:themeColor="text1"/>
          <w:kern w:val="0"/>
          <w:sz w:val="32"/>
          <w:szCs w:val="32"/>
          <w14:textFill>
            <w14:solidFill>
              <w14:schemeClr w14:val="tx1"/>
            </w14:solidFill>
          </w14:textFill>
        </w:rPr>
        <w:t>。</w:t>
      </w:r>
    </w:p>
    <w:p w14:paraId="1B8EABE5">
      <w:pPr>
        <w:pStyle w:val="2"/>
      </w:pPr>
      <w:r>
        <w:rPr>
          <w:rFonts w:hint="eastAsia"/>
          <w:color w:val="000000" w:themeColor="text1"/>
          <w14:textFill>
            <w14:solidFill>
              <w14:schemeClr w14:val="tx1"/>
            </w14:solidFill>
          </w14:textFill>
        </w:rPr>
        <w:t>④本项目设置有一座200m</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事故应急池。</w:t>
      </w:r>
    </w:p>
    <w:p w14:paraId="2C11808D">
      <w:pPr>
        <w:pStyle w:val="38"/>
        <w:spacing w:line="560" w:lineRule="exact"/>
        <w:ind w:firstLine="643"/>
        <w:jc w:val="left"/>
        <w:outlineLvl w:val="0"/>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四、环境保护设施调试效果</w:t>
      </w:r>
    </w:p>
    <w:p w14:paraId="091A9E42">
      <w:pPr>
        <w:spacing w:line="560" w:lineRule="exact"/>
        <w:ind w:firstLine="643" w:firstLineChars="200"/>
        <w:outlineLvl w:val="1"/>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（一）污染物排放情况</w:t>
      </w:r>
    </w:p>
    <w:p w14:paraId="5D35F7E8">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ascii="仿宋_GB2312" w:eastAsia="仿宋_GB2312" w:hAnsiTheme="minorEastAsia"/>
          <w:color w:val="000000" w:themeColor="text1"/>
          <w:kern w:val="0"/>
          <w:sz w:val="32"/>
          <w:szCs w:val="32"/>
          <w14:textFill>
            <w14:solidFill>
              <w14:schemeClr w14:val="tx1"/>
            </w14:solidFill>
          </w14:textFill>
        </w:rPr>
        <w:t>1.</w:t>
      </w:r>
      <w:r>
        <w:rPr>
          <w:rFonts w:hint="eastAsia" w:ascii="仿宋_GB2312" w:eastAsia="仿宋_GB2312" w:hAnsiTheme="minorEastAsia"/>
          <w:color w:val="000000" w:themeColor="text1"/>
          <w:kern w:val="0"/>
          <w:sz w:val="32"/>
          <w:szCs w:val="32"/>
          <w14:textFill>
            <w14:solidFill>
              <w14:schemeClr w14:val="tx1"/>
            </w14:solidFill>
          </w14:textFill>
        </w:rPr>
        <w:t>废水</w:t>
      </w:r>
    </w:p>
    <w:p w14:paraId="7568E0F7">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监测结果</w:t>
      </w:r>
      <w:r>
        <w:rPr>
          <w:rFonts w:ascii="仿宋_GB2312" w:eastAsia="仿宋_GB2312" w:hAnsiTheme="minorEastAsia"/>
          <w:color w:val="000000" w:themeColor="text1"/>
          <w:kern w:val="0"/>
          <w:sz w:val="32"/>
          <w:szCs w:val="32"/>
          <w14:textFill>
            <w14:solidFill>
              <w14:schemeClr w14:val="tx1"/>
            </w14:solidFill>
          </w14:textFill>
        </w:rPr>
        <w:t>表明，</w:t>
      </w:r>
      <w:r>
        <w:rPr>
          <w:rFonts w:hint="eastAsia" w:ascii="仿宋_GB2312" w:eastAsia="仿宋_GB2312" w:hAnsiTheme="minorEastAsia"/>
          <w:color w:val="000000" w:themeColor="text1"/>
          <w:kern w:val="0"/>
          <w:sz w:val="32"/>
          <w:szCs w:val="32"/>
          <w14:textFill>
            <w14:solidFill>
              <w14:schemeClr w14:val="tx1"/>
            </w14:solidFill>
          </w14:textFill>
        </w:rPr>
        <w:t>项目</w:t>
      </w:r>
      <w:r>
        <w:rPr>
          <w:rFonts w:ascii="仿宋_GB2312" w:eastAsia="仿宋_GB2312" w:hAnsiTheme="minorEastAsia"/>
          <w:color w:val="000000" w:themeColor="text1"/>
          <w:kern w:val="0"/>
          <w:sz w:val="32"/>
          <w:szCs w:val="32"/>
          <w14:textFill>
            <w14:solidFill>
              <w14:schemeClr w14:val="tx1"/>
            </w14:solidFill>
          </w14:textFill>
        </w:rPr>
        <w:t>生活污水处理设施排放口</w:t>
      </w:r>
      <w:r>
        <w:rPr>
          <w:rFonts w:hint="eastAsia" w:ascii="仿宋_GB2312" w:eastAsia="仿宋_GB2312" w:hAnsiTheme="minorEastAsia"/>
          <w:color w:val="000000" w:themeColor="text1"/>
          <w:kern w:val="0"/>
          <w:sz w:val="32"/>
          <w:szCs w:val="32"/>
          <w14:textFill>
            <w14:solidFill>
              <w14:schemeClr w14:val="tx1"/>
            </w14:solidFill>
          </w14:textFill>
        </w:rPr>
        <w:t>各</w:t>
      </w:r>
      <w:r>
        <w:rPr>
          <w:rFonts w:ascii="仿宋_GB2312" w:eastAsia="仿宋_GB2312" w:hAnsiTheme="minorEastAsia"/>
          <w:color w:val="000000" w:themeColor="text1"/>
          <w:kern w:val="0"/>
          <w:sz w:val="32"/>
          <w:szCs w:val="32"/>
          <w14:textFill>
            <w14:solidFill>
              <w14:schemeClr w14:val="tx1"/>
            </w14:solidFill>
          </w14:textFill>
        </w:rPr>
        <w:t>水污染物</w:t>
      </w:r>
      <w:r>
        <w:rPr>
          <w:rFonts w:hint="eastAsia" w:ascii="仿宋_GB2312" w:eastAsia="仿宋_GB2312" w:hAnsiTheme="minorEastAsia"/>
          <w:color w:val="000000" w:themeColor="text1"/>
          <w:kern w:val="0"/>
          <w:sz w:val="32"/>
          <w:szCs w:val="32"/>
          <w14:textFill>
            <w14:solidFill>
              <w14:schemeClr w14:val="tx1"/>
            </w14:solidFill>
          </w14:textFill>
        </w:rPr>
        <w:t>浓度均</w:t>
      </w:r>
      <w:r>
        <w:rPr>
          <w:rFonts w:ascii="仿宋_GB2312" w:eastAsia="仿宋_GB2312" w:hAnsiTheme="minorEastAsia"/>
          <w:color w:val="000000" w:themeColor="text1"/>
          <w:kern w:val="0"/>
          <w:sz w:val="32"/>
          <w:szCs w:val="32"/>
          <w14:textFill>
            <w14:solidFill>
              <w14:schemeClr w14:val="tx1"/>
            </w14:solidFill>
          </w14:textFill>
        </w:rPr>
        <w:t>符合《农田灌溉水质标准》（GB 5084-2021）表 1 农田灌溉水质基本控制项目限值中的旱地作物值要求。</w:t>
      </w:r>
    </w:p>
    <w:p w14:paraId="4A4940EE">
      <w:pPr>
        <w:pStyle w:val="2"/>
        <w:rPr>
          <w:color w:val="auto"/>
        </w:rPr>
      </w:pPr>
      <w:r>
        <w:rPr>
          <w:rFonts w:hint="eastAsia"/>
          <w:color w:val="auto"/>
        </w:rPr>
        <w:t>初期雨水</w:t>
      </w:r>
      <w:r>
        <w:rPr>
          <w:color w:val="auto"/>
        </w:rPr>
        <w:t>经沉淀后回用场地内降尘，不外排</w:t>
      </w:r>
      <w:r>
        <w:rPr>
          <w:rFonts w:hint="eastAsia"/>
          <w:color w:val="auto"/>
        </w:rPr>
        <w:t>；</w:t>
      </w:r>
      <w:r>
        <w:rPr>
          <w:color w:val="auto"/>
        </w:rPr>
        <w:t>清洗废水</w:t>
      </w:r>
      <w:r>
        <w:rPr>
          <w:rFonts w:hint="eastAsia"/>
          <w:color w:val="auto"/>
        </w:rPr>
        <w:t>经</w:t>
      </w:r>
      <w:r>
        <w:rPr>
          <w:color w:val="auto"/>
        </w:rPr>
        <w:t>隔油沉淀处理，回用于车辆冲洗，不外排</w:t>
      </w:r>
      <w:r>
        <w:rPr>
          <w:rFonts w:hint="eastAsia"/>
          <w:color w:val="auto"/>
        </w:rPr>
        <w:t>。</w:t>
      </w:r>
      <w:r>
        <w:rPr>
          <w:color w:val="auto"/>
        </w:rPr>
        <w:t>故</w:t>
      </w:r>
      <w:r>
        <w:rPr>
          <w:rFonts w:hint="eastAsia"/>
          <w:color w:val="auto"/>
        </w:rPr>
        <w:t>不对</w:t>
      </w:r>
      <w:r>
        <w:rPr>
          <w:color w:val="auto"/>
        </w:rPr>
        <w:t>上述废水监测。</w:t>
      </w:r>
    </w:p>
    <w:p w14:paraId="5E88950B">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ascii="仿宋_GB2312" w:eastAsia="仿宋_GB2312" w:hAnsiTheme="minorEastAsia"/>
          <w:color w:val="000000" w:themeColor="text1"/>
          <w:kern w:val="0"/>
          <w:sz w:val="32"/>
          <w:szCs w:val="32"/>
          <w14:textFill>
            <w14:solidFill>
              <w14:schemeClr w14:val="tx1"/>
            </w14:solidFill>
          </w14:textFill>
        </w:rPr>
        <w:t>2.</w:t>
      </w:r>
      <w:r>
        <w:rPr>
          <w:rFonts w:hint="eastAsia" w:ascii="仿宋_GB2312" w:eastAsia="仿宋_GB2312" w:hAnsiTheme="minorEastAsia"/>
          <w:color w:val="000000" w:themeColor="text1"/>
          <w:kern w:val="0"/>
          <w:sz w:val="32"/>
          <w:szCs w:val="32"/>
          <w14:textFill>
            <w14:solidFill>
              <w14:schemeClr w14:val="tx1"/>
            </w14:solidFill>
          </w14:textFill>
        </w:rPr>
        <w:t>废气</w:t>
      </w:r>
    </w:p>
    <w:p w14:paraId="5248A52F">
      <w:pPr>
        <w:spacing w:line="560" w:lineRule="exact"/>
        <w:ind w:firstLine="640" w:firstLineChars="200"/>
        <w:rPr>
          <w:rFonts w:ascii="仿宋_GB2312" w:eastAsia="仿宋_GB2312" w:cs="宋体" w:hAnsiTheme="minorEastAsia"/>
          <w:color w:val="000000" w:themeColor="text1"/>
          <w:kern w:val="0"/>
          <w:sz w:val="32"/>
          <w:szCs w:val="32"/>
          <w14:textFill>
            <w14:solidFill>
              <w14:schemeClr w14:val="tx1"/>
            </w14:solidFill>
          </w14:textFill>
        </w:rPr>
      </w:pPr>
      <w:r>
        <w:rPr>
          <w:rFonts w:ascii="仿宋_GB2312" w:eastAsia="仿宋_GB2312" w:cs="宋体" w:hAnsiTheme="minorEastAsia"/>
          <w:color w:val="000000" w:themeColor="text1"/>
          <w:kern w:val="0"/>
          <w:sz w:val="32"/>
          <w:szCs w:val="32"/>
          <w14:textFill>
            <w14:solidFill>
              <w14:schemeClr w14:val="tx1"/>
            </w14:solidFill>
          </w14:textFill>
        </w:rPr>
        <w:t>监测结果表明</w:t>
      </w:r>
      <w:r>
        <w:rPr>
          <w:rFonts w:hint="eastAsia" w:ascii="仿宋_GB2312" w:eastAsia="仿宋_GB2312" w:cs="宋体" w:hAnsiTheme="minorEastAsia"/>
          <w:color w:val="000000" w:themeColor="text1"/>
          <w:kern w:val="0"/>
          <w:sz w:val="32"/>
          <w:szCs w:val="32"/>
          <w14:textFill>
            <w14:solidFill>
              <w14:schemeClr w14:val="tx1"/>
            </w14:solidFill>
          </w14:textFill>
        </w:rPr>
        <w:t>，</w:t>
      </w:r>
      <w:r>
        <w:rPr>
          <w:rFonts w:ascii="仿宋_GB2312" w:eastAsia="仿宋_GB2312" w:cs="宋体" w:hAnsiTheme="minorEastAsia"/>
          <w:color w:val="000000" w:themeColor="text1"/>
          <w:kern w:val="0"/>
          <w:sz w:val="32"/>
          <w:szCs w:val="32"/>
          <w14:textFill>
            <w14:solidFill>
              <w14:schemeClr w14:val="tx1"/>
            </w14:solidFill>
          </w14:textFill>
        </w:rPr>
        <w:t>项目厂界颗粒物</w:t>
      </w:r>
      <w:r>
        <w:rPr>
          <w:rFonts w:hint="eastAsia" w:ascii="仿宋_GB2312" w:eastAsia="仿宋_GB2312" w:cs="宋体" w:hAnsiTheme="minorEastAsia"/>
          <w:color w:val="000000" w:themeColor="text1"/>
          <w:kern w:val="0"/>
          <w:sz w:val="32"/>
          <w:szCs w:val="32"/>
          <w14:textFill>
            <w14:solidFill>
              <w14:schemeClr w14:val="tx1"/>
            </w14:solidFill>
          </w14:textFill>
        </w:rPr>
        <w:t>浓度</w:t>
      </w:r>
      <w:r>
        <w:rPr>
          <w:rFonts w:ascii="仿宋_GB2312" w:eastAsia="仿宋_GB2312" w:cs="宋体" w:hAnsiTheme="minorEastAsia"/>
          <w:color w:val="000000" w:themeColor="text1"/>
          <w:kern w:val="0"/>
          <w:sz w:val="32"/>
          <w:szCs w:val="32"/>
          <w14:textFill>
            <w14:solidFill>
              <w14:schemeClr w14:val="tx1"/>
            </w14:solidFill>
          </w14:textFill>
        </w:rPr>
        <w:t>符合广东省地方标准《大气污染物排放限值》 （DB 44/27-2001）第二时段无组织排放监控浓度限值</w:t>
      </w:r>
      <w:r>
        <w:rPr>
          <w:rFonts w:hint="eastAsia" w:ascii="仿宋_GB2312" w:eastAsia="仿宋_GB2312" w:cs="宋体" w:hAnsiTheme="minorEastAsia"/>
          <w:color w:val="000000" w:themeColor="text1"/>
          <w:kern w:val="0"/>
          <w:sz w:val="32"/>
          <w:szCs w:val="32"/>
          <w14:textFill>
            <w14:solidFill>
              <w14:schemeClr w14:val="tx1"/>
            </w14:solidFill>
          </w14:textFill>
        </w:rPr>
        <w:t>要求</w:t>
      </w:r>
      <w:r>
        <w:rPr>
          <w:rFonts w:ascii="仿宋_GB2312" w:eastAsia="仿宋_GB2312" w:cs="宋体" w:hAnsiTheme="minorEastAsia"/>
          <w:color w:val="000000" w:themeColor="text1"/>
          <w:kern w:val="0"/>
          <w:sz w:val="32"/>
          <w:szCs w:val="32"/>
          <w14:textFill>
            <w14:solidFill>
              <w14:schemeClr w14:val="tx1"/>
            </w14:solidFill>
          </w14:textFill>
        </w:rPr>
        <w:t>。</w:t>
      </w:r>
      <w:r>
        <w:rPr>
          <w:rFonts w:hint="eastAsia" w:ascii="仿宋_GB2312" w:eastAsia="仿宋_GB2312" w:cs="宋体" w:hAnsiTheme="minorEastAsia"/>
          <w:color w:val="000000" w:themeColor="text1"/>
          <w:kern w:val="0"/>
          <w:sz w:val="32"/>
          <w:szCs w:val="32"/>
          <w14:textFill>
            <w14:solidFill>
              <w14:schemeClr w14:val="tx1"/>
            </w14:solidFill>
          </w14:textFill>
        </w:rPr>
        <w:t>食堂油烟排放浓度符合《饮食业油烟排放标准（试行）》（GB 18483-2001）最高允许排放浓度限值要求。</w:t>
      </w:r>
    </w:p>
    <w:p w14:paraId="506684F7">
      <w:pPr>
        <w:spacing w:line="560" w:lineRule="exact"/>
        <w:ind w:firstLine="640" w:firstLineChars="200"/>
        <w:rPr>
          <w:rFonts w:ascii="仿宋_GB2312" w:eastAsia="仿宋_GB2312" w:cs="宋体" w:hAnsiTheme="minorEastAsia"/>
          <w:color w:val="000000" w:themeColor="text1"/>
          <w:kern w:val="0"/>
          <w:sz w:val="32"/>
          <w:szCs w:val="32"/>
          <w14:textFill>
            <w14:solidFill>
              <w14:schemeClr w14:val="tx1"/>
            </w14:solidFill>
          </w14:textFill>
        </w:rPr>
      </w:pPr>
      <w:r>
        <w:rPr>
          <w:rFonts w:hint="eastAsia" w:ascii="仿宋_GB2312" w:eastAsia="仿宋_GB2312" w:cs="宋体" w:hAnsiTheme="minorEastAsia"/>
          <w:color w:val="000000" w:themeColor="text1"/>
          <w:kern w:val="0"/>
          <w:sz w:val="32"/>
          <w:szCs w:val="32"/>
          <w14:textFill>
            <w14:solidFill>
              <w14:schemeClr w14:val="tx1"/>
            </w14:solidFill>
          </w14:textFill>
        </w:rPr>
        <w:t>3</w:t>
      </w:r>
      <w:r>
        <w:rPr>
          <w:rFonts w:ascii="仿宋_GB2312" w:eastAsia="仿宋_GB2312" w:cs="宋体" w:hAnsiTheme="minorEastAsia"/>
          <w:color w:val="000000" w:themeColor="text1"/>
          <w:kern w:val="0"/>
          <w:sz w:val="32"/>
          <w:szCs w:val="32"/>
          <w14:textFill>
            <w14:solidFill>
              <w14:schemeClr w14:val="tx1"/>
            </w14:solidFill>
          </w14:textFill>
        </w:rPr>
        <w:t>.</w:t>
      </w:r>
      <w:r>
        <w:rPr>
          <w:rFonts w:hint="eastAsia" w:ascii="仿宋_GB2312" w:eastAsia="仿宋_GB2312" w:cs="宋体" w:hAnsiTheme="minorEastAsia"/>
          <w:color w:val="000000" w:themeColor="text1"/>
          <w:kern w:val="0"/>
          <w:sz w:val="32"/>
          <w:szCs w:val="32"/>
          <w14:textFill>
            <w14:solidFill>
              <w14:schemeClr w14:val="tx1"/>
            </w14:solidFill>
          </w14:textFill>
        </w:rPr>
        <w:t>噪声</w:t>
      </w:r>
    </w:p>
    <w:p w14:paraId="04E0736C">
      <w:pPr>
        <w:spacing w:line="560" w:lineRule="exact"/>
        <w:ind w:firstLine="640" w:firstLineChars="200"/>
        <w:rPr>
          <w:rFonts w:ascii="仿宋_GB2312" w:eastAsia="仿宋_GB2312" w:cs="宋体" w:hAnsiTheme="minorEastAsia"/>
          <w:color w:val="000000" w:themeColor="text1"/>
          <w:kern w:val="0"/>
          <w:sz w:val="32"/>
          <w:szCs w:val="32"/>
          <w14:textFill>
            <w14:solidFill>
              <w14:schemeClr w14:val="tx1"/>
            </w14:solidFill>
          </w14:textFill>
        </w:rPr>
      </w:pPr>
      <w:r>
        <w:rPr>
          <w:rFonts w:ascii="仿宋_GB2312" w:eastAsia="仿宋_GB2312" w:cs="宋体" w:hAnsiTheme="minorEastAsia"/>
          <w:color w:val="000000" w:themeColor="text1"/>
          <w:kern w:val="0"/>
          <w:sz w:val="32"/>
          <w:szCs w:val="32"/>
          <w14:textFill>
            <w14:solidFill>
              <w14:schemeClr w14:val="tx1"/>
            </w14:solidFill>
          </w14:textFill>
        </w:rPr>
        <w:t>监测结果表明</w:t>
      </w:r>
      <w:r>
        <w:rPr>
          <w:rFonts w:hint="eastAsia" w:ascii="仿宋_GB2312" w:eastAsia="仿宋_GB2312" w:cs="宋体" w:hAnsiTheme="minorEastAsia"/>
          <w:color w:val="000000" w:themeColor="text1"/>
          <w:kern w:val="0"/>
          <w:sz w:val="32"/>
          <w:szCs w:val="32"/>
          <w14:textFill>
            <w14:solidFill>
              <w14:schemeClr w14:val="tx1"/>
            </w14:solidFill>
          </w14:textFill>
        </w:rPr>
        <w:t>，项目边界昼间、夜间噪声符合《工业企业厂界环境噪声排放标准》(GB12348 -2008）中2 类标准。</w:t>
      </w:r>
    </w:p>
    <w:p w14:paraId="4AAD9EFB">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ascii="仿宋_GB2312" w:eastAsia="仿宋_GB2312" w:hAnsiTheme="minorEastAsia"/>
          <w:color w:val="000000" w:themeColor="text1"/>
          <w:kern w:val="0"/>
          <w:sz w:val="32"/>
          <w:szCs w:val="32"/>
          <w14:textFill>
            <w14:solidFill>
              <w14:schemeClr w14:val="tx1"/>
            </w14:solidFill>
          </w14:textFill>
        </w:rPr>
        <w:t>4.</w:t>
      </w:r>
      <w:r>
        <w:rPr>
          <w:rFonts w:hint="eastAsia" w:ascii="仿宋_GB2312" w:eastAsia="仿宋_GB2312" w:hAnsiTheme="minorEastAsia"/>
          <w:color w:val="000000" w:themeColor="text1"/>
          <w:kern w:val="0"/>
          <w:sz w:val="32"/>
          <w:szCs w:val="32"/>
          <w14:textFill>
            <w14:solidFill>
              <w14:schemeClr w14:val="tx1"/>
            </w14:solidFill>
          </w14:textFill>
        </w:rPr>
        <w:t>固废</w:t>
      </w:r>
    </w:p>
    <w:p w14:paraId="1573E814">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本项目验收期间固体废物处置符合《中华人民共和国固体废物污染环境防治法》、《广东省固体废物污染环境防治条例》的要求，危险废物符合《国家危险废物名录》（2025版）以及《危险废物贮存污染控制标准》（GB18597-2023）的要求。</w:t>
      </w:r>
    </w:p>
    <w:p w14:paraId="2C7F9B4B">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ascii="仿宋_GB2312" w:eastAsia="仿宋_GB2312" w:hAnsiTheme="minorEastAsia"/>
          <w:color w:val="000000" w:themeColor="text1"/>
          <w:kern w:val="0"/>
          <w:sz w:val="32"/>
          <w:szCs w:val="32"/>
          <w14:textFill>
            <w14:solidFill>
              <w14:schemeClr w14:val="tx1"/>
            </w14:solidFill>
          </w14:textFill>
        </w:rPr>
        <w:t>5.</w:t>
      </w:r>
      <w:r>
        <w:rPr>
          <w:rFonts w:hint="eastAsia" w:ascii="仿宋_GB2312" w:eastAsia="仿宋_GB2312" w:hAnsiTheme="minorEastAsia"/>
          <w:color w:val="000000" w:themeColor="text1"/>
          <w:kern w:val="0"/>
          <w:sz w:val="32"/>
          <w:szCs w:val="32"/>
          <w14:textFill>
            <w14:solidFill>
              <w14:schemeClr w14:val="tx1"/>
            </w14:solidFill>
          </w14:textFill>
        </w:rPr>
        <w:t>污染物排放总量</w:t>
      </w:r>
    </w:p>
    <w:p w14:paraId="2B44917E">
      <w:pPr>
        <w:spacing w:line="560" w:lineRule="exact"/>
        <w:ind w:firstLine="640" w:firstLineChars="20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根据项目</w:t>
      </w:r>
      <w:r>
        <w:rPr>
          <w:rFonts w:ascii="仿宋_GB2312" w:eastAsia="仿宋_GB2312" w:hAnsiTheme="minorEastAsia"/>
          <w:color w:val="000000" w:themeColor="text1"/>
          <w:kern w:val="0"/>
          <w:sz w:val="32"/>
          <w:szCs w:val="32"/>
          <w14:textFill>
            <w14:solidFill>
              <w14:schemeClr w14:val="tx1"/>
            </w14:solidFill>
          </w14:textFill>
        </w:rPr>
        <w:t>环境影响报告表及其批复，不设置废水及废气污染物总量控制指标</w:t>
      </w:r>
      <w:r>
        <w:rPr>
          <w:rFonts w:hint="eastAsia" w:ascii="仿宋_GB2312" w:eastAsia="仿宋_GB2312" w:hAnsiTheme="minorEastAsia"/>
          <w:color w:val="000000" w:themeColor="text1"/>
          <w:kern w:val="0"/>
          <w:sz w:val="32"/>
          <w:szCs w:val="32"/>
          <w14:textFill>
            <w14:solidFill>
              <w14:schemeClr w14:val="tx1"/>
            </w14:solidFill>
          </w14:textFill>
        </w:rPr>
        <w:t>。</w:t>
      </w:r>
    </w:p>
    <w:p w14:paraId="4D39CC70">
      <w:pPr>
        <w:spacing w:line="560" w:lineRule="exact"/>
        <w:ind w:firstLine="643" w:firstLineChars="200"/>
        <w:outlineLvl w:val="0"/>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五、工程建设对环境的影响</w:t>
      </w:r>
    </w:p>
    <w:p w14:paraId="6B771C08">
      <w:pPr>
        <w:pStyle w:val="38"/>
        <w:spacing w:line="560" w:lineRule="exact"/>
        <w:ind w:firstLine="640"/>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本项目废水、废气、噪声、固体废物均通过合理的方式处理达标后排放，根据监测结果，本项目产生的污染物未对周边环境产生较大影响。</w:t>
      </w:r>
    </w:p>
    <w:p w14:paraId="5F8334F8">
      <w:pPr>
        <w:pStyle w:val="38"/>
        <w:spacing w:line="560" w:lineRule="exact"/>
        <w:ind w:left="641" w:firstLine="0" w:firstLineChars="0"/>
        <w:jc w:val="left"/>
        <w:outlineLvl w:val="0"/>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六、验收结论</w:t>
      </w:r>
    </w:p>
    <w:p w14:paraId="4793F2B9">
      <w:pPr>
        <w:spacing w:line="560" w:lineRule="exact"/>
        <w:ind w:firstLine="640" w:firstLineChars="200"/>
        <w:jc w:val="left"/>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高州市利佳矿业发展有限公司年产15万立方米建筑用闪长岩项目在实施过程中除了产品堆场未设置封闭厂房外，基本上按环境影响评价文件及其批复要求，落实了相应的环境保护措施。</w:t>
      </w:r>
    </w:p>
    <w:p w14:paraId="11D37AE0">
      <w:pPr>
        <w:pStyle w:val="38"/>
        <w:spacing w:line="560" w:lineRule="exact"/>
        <w:ind w:firstLine="643"/>
        <w:jc w:val="left"/>
        <w:outlineLvl w:val="0"/>
        <w:rPr>
          <w:rFonts w:asciiTheme="minorEastAsia" w:hAnsiTheme="minorEastAsia" w:eastAsiaTheme="minorEastAsia"/>
          <w:b/>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七、后续要求</w:t>
      </w:r>
    </w:p>
    <w:p w14:paraId="791DAAC7">
      <w:pPr>
        <w:spacing w:line="560" w:lineRule="exact"/>
        <w:ind w:firstLine="640" w:firstLineChars="200"/>
        <w:jc w:val="left"/>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（一）加强环境设施维护与管理，确保污染物长期稳定达标排放。</w:t>
      </w:r>
    </w:p>
    <w:p w14:paraId="022D9878">
      <w:pPr>
        <w:spacing w:line="560" w:lineRule="exact"/>
        <w:ind w:firstLine="640" w:firstLineChars="200"/>
        <w:jc w:val="left"/>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（二）按证依法排污，接受生态环境主管部门的监督管理。</w:t>
      </w:r>
    </w:p>
    <w:p w14:paraId="4D12E794">
      <w:pPr>
        <w:spacing w:line="560" w:lineRule="exact"/>
        <w:ind w:firstLine="640" w:firstLineChars="200"/>
        <w:jc w:val="left"/>
        <w:rPr>
          <w:rFonts w:hint="eastAsia"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（三）进一步按环评及批复要求，落实产品堆场设置封闭厂房。</w:t>
      </w:r>
    </w:p>
    <w:p w14:paraId="2A3EF6F5">
      <w:pPr>
        <w:pStyle w:val="38"/>
        <w:spacing w:line="560" w:lineRule="exact"/>
        <w:ind w:firstLine="643"/>
        <w:jc w:val="left"/>
        <w:outlineLvl w:val="0"/>
        <w:rPr>
          <w:rFonts w:asciiTheme="minorEastAsia" w:hAnsiTheme="minorEastAsia" w:eastAsiaTheme="minorEastAsia"/>
          <w:color w:val="000000" w:themeColor="text1"/>
          <w:kern w:val="0"/>
          <w:sz w:val="32"/>
          <w:szCs w:val="32"/>
          <w14:textFill>
            <w14:solidFill>
              <w14:schemeClr w14:val="tx1"/>
            </w14:solidFill>
          </w14:textFill>
        </w:rPr>
      </w:pPr>
      <w:r>
        <w:rPr>
          <w:rFonts w:hint="eastAsia" w:asciiTheme="minorEastAsia" w:hAnsiTheme="minorEastAsia" w:eastAsiaTheme="minorEastAsia"/>
          <w:b/>
          <w:color w:val="000000" w:themeColor="text1"/>
          <w:kern w:val="0"/>
          <w:sz w:val="32"/>
          <w:szCs w:val="32"/>
          <w14:textFill>
            <w14:solidFill>
              <w14:schemeClr w14:val="tx1"/>
            </w14:solidFill>
          </w14:textFill>
        </w:rPr>
        <w:t>八、验收人员信息</w:t>
      </w:r>
    </w:p>
    <w:p w14:paraId="4C94D3CC">
      <w:pPr>
        <w:spacing w:line="560" w:lineRule="exact"/>
        <w:ind w:firstLine="627" w:firstLineChars="196"/>
        <w:jc w:val="left"/>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详见附表。</w:t>
      </w:r>
    </w:p>
    <w:p w14:paraId="5868B23C">
      <w:pPr>
        <w:spacing w:line="560" w:lineRule="exact"/>
        <w:rPr>
          <w:color w:val="000000" w:themeColor="text1"/>
          <w14:textFill>
            <w14:solidFill>
              <w14:schemeClr w14:val="tx1"/>
            </w14:solidFill>
          </w14:textFill>
        </w:rPr>
      </w:pPr>
    </w:p>
    <w:p w14:paraId="438A890E">
      <w:pPr>
        <w:spacing w:line="560" w:lineRule="exact"/>
        <w:rPr>
          <w:color w:val="000000" w:themeColor="text1"/>
          <w14:textFill>
            <w14:solidFill>
              <w14:schemeClr w14:val="tx1"/>
            </w14:solidFill>
          </w14:textFill>
        </w:rPr>
      </w:pPr>
    </w:p>
    <w:p w14:paraId="3D0EAE29">
      <w:pPr>
        <w:spacing w:line="560" w:lineRule="exact"/>
        <w:ind w:right="640"/>
        <w:jc w:val="right"/>
        <w:rPr>
          <w:rFonts w:ascii="仿宋_GB2312" w:eastAsia="仿宋_GB2312" w:hAnsiTheme="minorEastAsia"/>
          <w:color w:val="000000" w:themeColor="text1"/>
          <w:kern w:val="0"/>
          <w:sz w:val="32"/>
          <w:szCs w:val="32"/>
          <w14:textFill>
            <w14:solidFill>
              <w14:schemeClr w14:val="tx1"/>
            </w14:solidFill>
          </w14:textFill>
        </w:rPr>
      </w:pPr>
      <w:r>
        <w:rPr>
          <w:rFonts w:hint="eastAsia" w:ascii="仿宋_GB2312" w:eastAsia="仿宋_GB2312" w:hAnsiTheme="minorEastAsia"/>
          <w:color w:val="000000" w:themeColor="text1"/>
          <w:kern w:val="0"/>
          <w:sz w:val="32"/>
          <w:szCs w:val="32"/>
          <w14:textFill>
            <w14:solidFill>
              <w14:schemeClr w14:val="tx1"/>
            </w14:solidFill>
          </w14:textFill>
        </w:rPr>
        <w:t>高州市利佳矿业发展有限公司</w:t>
      </w:r>
      <w:r>
        <w:rPr>
          <w:rFonts w:ascii="仿宋_GB2312" w:eastAsia="仿宋_GB2312" w:hAnsiTheme="minorEastAsia"/>
          <w:color w:val="000000" w:themeColor="text1"/>
          <w:kern w:val="0"/>
          <w:sz w:val="32"/>
          <w:szCs w:val="32"/>
          <w14:textFill>
            <w14:solidFill>
              <w14:schemeClr w14:val="tx1"/>
            </w14:solidFill>
          </w14:textFill>
        </w:rPr>
        <w:t xml:space="preserve">               </w:t>
      </w:r>
    </w:p>
    <w:p w14:paraId="2C21A008">
      <w:pPr>
        <w:spacing w:line="560" w:lineRule="exact"/>
        <w:ind w:right="640"/>
        <w:jc w:val="right"/>
        <w:rPr>
          <w:rFonts w:ascii="仿宋_GB2312" w:eastAsia="仿宋_GB2312" w:hAnsiTheme="minorEastAsia"/>
          <w:color w:val="000000" w:themeColor="text1"/>
          <w:kern w:val="0"/>
          <w:sz w:val="32"/>
          <w:szCs w:val="32"/>
          <w14:textFill>
            <w14:solidFill>
              <w14:schemeClr w14:val="tx1"/>
            </w14:solidFill>
          </w14:textFill>
        </w:rPr>
      </w:pPr>
      <w:bookmarkStart w:id="7" w:name="_GoBack"/>
      <w:bookmarkEnd w:id="7"/>
      <w:r>
        <w:rPr>
          <w:rFonts w:hint="eastAsia" w:ascii="仿宋_GB2312" w:eastAsia="仿宋_GB2312" w:hAnsiTheme="minorEastAsia"/>
          <w:color w:val="000000" w:themeColor="text1"/>
          <w:kern w:val="0"/>
          <w:sz w:val="32"/>
          <w:szCs w:val="32"/>
          <w14:textFill>
            <w14:solidFill>
              <w14:schemeClr w14:val="tx1"/>
            </w14:solidFill>
          </w14:textFill>
        </w:rPr>
        <w:t>2025年6月</w:t>
      </w:r>
      <w:r>
        <w:rPr>
          <w:rFonts w:hint="eastAsia" w:ascii="仿宋_GB2312" w:eastAsia="仿宋_GB2312" w:hAnsiTheme="minorEastAsia"/>
          <w:color w:val="000000" w:themeColor="text1"/>
          <w:kern w:val="0"/>
          <w:sz w:val="32"/>
          <w:szCs w:val="32"/>
          <w:lang w:val="en-US" w:eastAsia="zh-CN"/>
          <w14:textFill>
            <w14:solidFill>
              <w14:schemeClr w14:val="tx1"/>
            </w14:solidFill>
          </w14:textFill>
        </w:rPr>
        <w:t>3</w:t>
      </w:r>
      <w:r>
        <w:rPr>
          <w:rFonts w:hint="eastAsia" w:ascii="仿宋_GB2312" w:eastAsia="仿宋_GB2312" w:hAnsiTheme="minorEastAsia"/>
          <w:color w:val="000000" w:themeColor="text1"/>
          <w:kern w:val="0"/>
          <w:sz w:val="32"/>
          <w:szCs w:val="32"/>
          <w14:textFill>
            <w14:solidFill>
              <w14:schemeClr w14:val="tx1"/>
            </w14:solidFill>
          </w14:textFill>
        </w:rPr>
        <w:t>0日</w:t>
      </w:r>
    </w:p>
    <w:p w14:paraId="21051FDC">
      <w:pPr>
        <w:spacing w:line="560" w:lineRule="exact"/>
        <w:jc w:val="left"/>
        <w:rPr>
          <w:rFonts w:ascii="仿宋_GB2312" w:eastAsia="仿宋_GB2312" w:hAnsiTheme="minorEastAsia"/>
          <w:color w:val="000000" w:themeColor="text1"/>
          <w:kern w:val="0"/>
          <w:sz w:val="32"/>
          <w:szCs w:val="32"/>
          <w14:textFill>
            <w14:solidFill>
              <w14:schemeClr w14:val="tx1"/>
            </w14:solidFill>
          </w14:textFill>
        </w:rPr>
        <w:sectPr>
          <w:footerReference r:id="rId3" w:type="default"/>
          <w:pgSz w:w="11906" w:h="16838"/>
          <w:pgMar w:top="2098" w:right="1588" w:bottom="2041" w:left="1588" w:header="851" w:footer="1134" w:gutter="0"/>
          <w:cols w:space="425" w:num="1"/>
          <w:docGrid w:type="lines" w:linePitch="312" w:charSpace="0"/>
        </w:sectPr>
      </w:pPr>
    </w:p>
    <w:p w14:paraId="280624AE">
      <w:pPr>
        <w:pStyle w:val="15"/>
        <w:autoSpaceDE w:val="0"/>
        <w:spacing w:line="560" w:lineRule="exact"/>
        <w:ind w:left="420" w:leftChars="200"/>
        <w:jc w:val="left"/>
        <w:rPr>
          <w:color w:val="000000" w:themeColor="text1"/>
          <w14:textFill>
            <w14:solidFill>
              <w14:schemeClr w14:val="tx1"/>
            </w14:solidFill>
          </w14:textFill>
        </w:rPr>
      </w:pPr>
    </w:p>
    <w:sectPr>
      <w:pgSz w:w="16838" w:h="11906" w:orient="landscape"/>
      <w:pgMar w:top="1134" w:right="1440" w:bottom="1701" w:left="1440" w:header="851" w:footer="850" w:gutter="0"/>
      <w:pgNumType w:chapStyle="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宋体">
    <w:altName w:val="Malgun Gothic Semilight"/>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E7635">
    <w:pPr>
      <w:pStyle w:val="21"/>
      <w:jc w:val="center"/>
      <w:rPr>
        <w:sz w:val="24"/>
        <w:szCs w:val="24"/>
      </w:rPr>
    </w:pPr>
    <w:r>
      <w:rPr>
        <w:rFonts w:hint="eastAsia"/>
        <w:sz w:val="24"/>
        <w:szCs w:val="24"/>
      </w:rPr>
      <w:t>第</w:t>
    </w:r>
    <w:r>
      <w:rPr>
        <w:sz w:val="24"/>
        <w:szCs w:val="24"/>
      </w:rPr>
      <w:fldChar w:fldCharType="begin"/>
    </w:r>
    <w:r>
      <w:rPr>
        <w:sz w:val="24"/>
        <w:szCs w:val="24"/>
      </w:rPr>
      <w:instrText xml:space="preserve"> PAGE  \* Arabic  \* MERGEFORMAT </w:instrText>
    </w:r>
    <w:r>
      <w:rPr>
        <w:sz w:val="24"/>
        <w:szCs w:val="24"/>
      </w:rPr>
      <w:fldChar w:fldCharType="separate"/>
    </w:r>
    <w:r>
      <w:rPr>
        <w:sz w:val="24"/>
        <w:szCs w:val="24"/>
      </w:rPr>
      <w:t>8</w:t>
    </w:r>
    <w:r>
      <w:rPr>
        <w:sz w:val="24"/>
        <w:szCs w:val="24"/>
      </w:rPr>
      <w:fldChar w:fldCharType="end"/>
    </w:r>
    <w:r>
      <w:rPr>
        <w:rFonts w:hint="eastAsia"/>
        <w:sz w:val="24"/>
        <w:szCs w:val="24"/>
      </w:rPr>
      <w:t>页</w:t>
    </w:r>
    <w:r>
      <w:rPr>
        <w:sz w:val="24"/>
        <w:szCs w:val="24"/>
      </w:rPr>
      <w:t xml:space="preserve"> </w:t>
    </w:r>
    <w:r>
      <w:rPr>
        <w:rFonts w:hint="eastAsia"/>
        <w:sz w:val="24"/>
        <w:szCs w:val="24"/>
      </w:rPr>
      <w:t>共</w:t>
    </w:r>
    <w:r>
      <w:rPr>
        <w:sz w:val="24"/>
        <w:szCs w:val="24"/>
      </w:rPr>
      <w:fldChar w:fldCharType="begin"/>
    </w:r>
    <w:r>
      <w:rPr>
        <w:sz w:val="24"/>
        <w:szCs w:val="24"/>
      </w:rPr>
      <w:instrText xml:space="preserve"> NUMPAGES  \# "0" \* Arabic  \* MERGEFORMAT </w:instrText>
    </w:r>
    <w:r>
      <w:rPr>
        <w:sz w:val="24"/>
        <w:szCs w:val="24"/>
      </w:rPr>
      <w:fldChar w:fldCharType="separate"/>
    </w:r>
    <w:r>
      <w:rPr>
        <w:sz w:val="24"/>
        <w:szCs w:val="24"/>
      </w:rPr>
      <w:t>9</w:t>
    </w:r>
    <w:r>
      <w:rPr>
        <w:sz w:val="24"/>
        <w:szCs w:val="24"/>
      </w:rPr>
      <w:fldChar w:fldCharType="end"/>
    </w:r>
    <w:r>
      <w:rPr>
        <w:rFonts w:hint="eastAsia"/>
        <w:sz w:val="24"/>
        <w:szCs w:val="24"/>
      </w:rPr>
      <w:t>页</w:t>
    </w:r>
  </w:p>
  <w:p w14:paraId="51E9AC3D">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708A9"/>
    <w:multiLevelType w:val="singleLevel"/>
    <w:tmpl w:val="BC3708A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143"/>
    <w:rsid w:val="00024432"/>
    <w:rsid w:val="00041514"/>
    <w:rsid w:val="00053032"/>
    <w:rsid w:val="000775EC"/>
    <w:rsid w:val="000816EF"/>
    <w:rsid w:val="000860DC"/>
    <w:rsid w:val="0008770D"/>
    <w:rsid w:val="000948F0"/>
    <w:rsid w:val="000A3E22"/>
    <w:rsid w:val="000C4A99"/>
    <w:rsid w:val="000E4997"/>
    <w:rsid w:val="000E5CDF"/>
    <w:rsid w:val="00124B66"/>
    <w:rsid w:val="001309D3"/>
    <w:rsid w:val="00155351"/>
    <w:rsid w:val="00164708"/>
    <w:rsid w:val="00174BAF"/>
    <w:rsid w:val="0017695D"/>
    <w:rsid w:val="001817FA"/>
    <w:rsid w:val="00187AF0"/>
    <w:rsid w:val="001B4DE2"/>
    <w:rsid w:val="001E0DDA"/>
    <w:rsid w:val="001E2F7E"/>
    <w:rsid w:val="001F2717"/>
    <w:rsid w:val="0025686A"/>
    <w:rsid w:val="002576B4"/>
    <w:rsid w:val="00260B5F"/>
    <w:rsid w:val="00261FCE"/>
    <w:rsid w:val="002662AE"/>
    <w:rsid w:val="00267343"/>
    <w:rsid w:val="002726BB"/>
    <w:rsid w:val="002A0410"/>
    <w:rsid w:val="002B1CFB"/>
    <w:rsid w:val="002B425D"/>
    <w:rsid w:val="002C106D"/>
    <w:rsid w:val="002D206D"/>
    <w:rsid w:val="002F5A89"/>
    <w:rsid w:val="003034AE"/>
    <w:rsid w:val="00332D7C"/>
    <w:rsid w:val="00362FBD"/>
    <w:rsid w:val="003758E6"/>
    <w:rsid w:val="0038198E"/>
    <w:rsid w:val="003831CB"/>
    <w:rsid w:val="003A5BF8"/>
    <w:rsid w:val="003B34A4"/>
    <w:rsid w:val="003C249C"/>
    <w:rsid w:val="003D5F65"/>
    <w:rsid w:val="003D6168"/>
    <w:rsid w:val="003E1AC0"/>
    <w:rsid w:val="003F42CD"/>
    <w:rsid w:val="004115CB"/>
    <w:rsid w:val="00436B39"/>
    <w:rsid w:val="00455E35"/>
    <w:rsid w:val="004840EB"/>
    <w:rsid w:val="00490815"/>
    <w:rsid w:val="00495255"/>
    <w:rsid w:val="004A7F9D"/>
    <w:rsid w:val="004D2525"/>
    <w:rsid w:val="004E0863"/>
    <w:rsid w:val="004F6142"/>
    <w:rsid w:val="005108DA"/>
    <w:rsid w:val="0053352A"/>
    <w:rsid w:val="005442D6"/>
    <w:rsid w:val="0054560A"/>
    <w:rsid w:val="00565D68"/>
    <w:rsid w:val="00580CAE"/>
    <w:rsid w:val="00584CAD"/>
    <w:rsid w:val="0059101B"/>
    <w:rsid w:val="005A6B84"/>
    <w:rsid w:val="005B01A9"/>
    <w:rsid w:val="005B1EF5"/>
    <w:rsid w:val="005B6816"/>
    <w:rsid w:val="005C3586"/>
    <w:rsid w:val="005D20CF"/>
    <w:rsid w:val="0061550D"/>
    <w:rsid w:val="0062063C"/>
    <w:rsid w:val="00631F32"/>
    <w:rsid w:val="006337BD"/>
    <w:rsid w:val="00660C13"/>
    <w:rsid w:val="00661BD0"/>
    <w:rsid w:val="0067134F"/>
    <w:rsid w:val="006752E0"/>
    <w:rsid w:val="006A5342"/>
    <w:rsid w:val="006A6A4E"/>
    <w:rsid w:val="006D5D25"/>
    <w:rsid w:val="0071515D"/>
    <w:rsid w:val="00734496"/>
    <w:rsid w:val="00744869"/>
    <w:rsid w:val="00792996"/>
    <w:rsid w:val="007A01F5"/>
    <w:rsid w:val="007A6A8A"/>
    <w:rsid w:val="007F42E0"/>
    <w:rsid w:val="00836D7D"/>
    <w:rsid w:val="0085157C"/>
    <w:rsid w:val="00863502"/>
    <w:rsid w:val="00863B25"/>
    <w:rsid w:val="008752DE"/>
    <w:rsid w:val="008E38F2"/>
    <w:rsid w:val="00900851"/>
    <w:rsid w:val="00920750"/>
    <w:rsid w:val="00954BFF"/>
    <w:rsid w:val="00957EAF"/>
    <w:rsid w:val="00965638"/>
    <w:rsid w:val="00994BBD"/>
    <w:rsid w:val="009A27AE"/>
    <w:rsid w:val="009A7B6A"/>
    <w:rsid w:val="009B6A9B"/>
    <w:rsid w:val="009B72B4"/>
    <w:rsid w:val="009C0C41"/>
    <w:rsid w:val="009C4D6C"/>
    <w:rsid w:val="009D47A8"/>
    <w:rsid w:val="009F29C3"/>
    <w:rsid w:val="00A53851"/>
    <w:rsid w:val="00A5669C"/>
    <w:rsid w:val="00A57C4E"/>
    <w:rsid w:val="00A65241"/>
    <w:rsid w:val="00A70803"/>
    <w:rsid w:val="00A73256"/>
    <w:rsid w:val="00A87BCC"/>
    <w:rsid w:val="00A9329A"/>
    <w:rsid w:val="00A9755B"/>
    <w:rsid w:val="00AA08BA"/>
    <w:rsid w:val="00AB7826"/>
    <w:rsid w:val="00AF146D"/>
    <w:rsid w:val="00AF49FA"/>
    <w:rsid w:val="00B43047"/>
    <w:rsid w:val="00B449F2"/>
    <w:rsid w:val="00B44B8D"/>
    <w:rsid w:val="00B5566B"/>
    <w:rsid w:val="00B73E26"/>
    <w:rsid w:val="00B77F9E"/>
    <w:rsid w:val="00BA6164"/>
    <w:rsid w:val="00BB6E6B"/>
    <w:rsid w:val="00BC753E"/>
    <w:rsid w:val="00BD113E"/>
    <w:rsid w:val="00BD4B13"/>
    <w:rsid w:val="00BE33E9"/>
    <w:rsid w:val="00C23EDF"/>
    <w:rsid w:val="00C256B1"/>
    <w:rsid w:val="00C64180"/>
    <w:rsid w:val="00C65DCC"/>
    <w:rsid w:val="00C94B40"/>
    <w:rsid w:val="00C95143"/>
    <w:rsid w:val="00CD5006"/>
    <w:rsid w:val="00CF34FA"/>
    <w:rsid w:val="00CF555A"/>
    <w:rsid w:val="00D172DF"/>
    <w:rsid w:val="00D26ED4"/>
    <w:rsid w:val="00D44763"/>
    <w:rsid w:val="00D51A87"/>
    <w:rsid w:val="00D80C77"/>
    <w:rsid w:val="00DA1D02"/>
    <w:rsid w:val="00DF47A2"/>
    <w:rsid w:val="00E064A1"/>
    <w:rsid w:val="00E07B27"/>
    <w:rsid w:val="00E2676B"/>
    <w:rsid w:val="00E307DC"/>
    <w:rsid w:val="00E57028"/>
    <w:rsid w:val="00E60A9C"/>
    <w:rsid w:val="00E67844"/>
    <w:rsid w:val="00E70715"/>
    <w:rsid w:val="00E70DB1"/>
    <w:rsid w:val="00E72369"/>
    <w:rsid w:val="00E73479"/>
    <w:rsid w:val="00E73B17"/>
    <w:rsid w:val="00EA0AC5"/>
    <w:rsid w:val="00EB5E64"/>
    <w:rsid w:val="00EB7270"/>
    <w:rsid w:val="00EC1841"/>
    <w:rsid w:val="00ED44E2"/>
    <w:rsid w:val="00EE12A8"/>
    <w:rsid w:val="00EE5E5B"/>
    <w:rsid w:val="00EF6087"/>
    <w:rsid w:val="00EF7035"/>
    <w:rsid w:val="00F00E48"/>
    <w:rsid w:val="00F07625"/>
    <w:rsid w:val="00F217F3"/>
    <w:rsid w:val="00F241CA"/>
    <w:rsid w:val="00F265A6"/>
    <w:rsid w:val="00F26C39"/>
    <w:rsid w:val="00F76EEA"/>
    <w:rsid w:val="00FC266F"/>
    <w:rsid w:val="00FC3E71"/>
    <w:rsid w:val="00FC5834"/>
    <w:rsid w:val="00FC5C39"/>
    <w:rsid w:val="00FC7F27"/>
    <w:rsid w:val="01E7687A"/>
    <w:rsid w:val="02405F8A"/>
    <w:rsid w:val="02DE5ECF"/>
    <w:rsid w:val="031669C2"/>
    <w:rsid w:val="03807728"/>
    <w:rsid w:val="04BB3232"/>
    <w:rsid w:val="05D37841"/>
    <w:rsid w:val="089D5EE4"/>
    <w:rsid w:val="0A36214C"/>
    <w:rsid w:val="0B3568A8"/>
    <w:rsid w:val="0DC14423"/>
    <w:rsid w:val="0E0802A4"/>
    <w:rsid w:val="0EF425D6"/>
    <w:rsid w:val="102D3FF1"/>
    <w:rsid w:val="11B81FE1"/>
    <w:rsid w:val="12CF75E2"/>
    <w:rsid w:val="13580BCE"/>
    <w:rsid w:val="13763F01"/>
    <w:rsid w:val="14854B32"/>
    <w:rsid w:val="17F81389"/>
    <w:rsid w:val="1C964CCC"/>
    <w:rsid w:val="1CF22D64"/>
    <w:rsid w:val="1D0C4F8F"/>
    <w:rsid w:val="207F7893"/>
    <w:rsid w:val="21294361"/>
    <w:rsid w:val="2181419D"/>
    <w:rsid w:val="22250FCC"/>
    <w:rsid w:val="24945F95"/>
    <w:rsid w:val="24DB7DE7"/>
    <w:rsid w:val="25C64874"/>
    <w:rsid w:val="30C9346B"/>
    <w:rsid w:val="31A35A6A"/>
    <w:rsid w:val="31C003CA"/>
    <w:rsid w:val="32676A97"/>
    <w:rsid w:val="33CD6DCE"/>
    <w:rsid w:val="360D3DFA"/>
    <w:rsid w:val="36527A5E"/>
    <w:rsid w:val="36EA7C97"/>
    <w:rsid w:val="37A91900"/>
    <w:rsid w:val="39507621"/>
    <w:rsid w:val="395104A1"/>
    <w:rsid w:val="3971644D"/>
    <w:rsid w:val="39F000CB"/>
    <w:rsid w:val="3A5244D1"/>
    <w:rsid w:val="3BDB4052"/>
    <w:rsid w:val="3CAD1E92"/>
    <w:rsid w:val="3E6B5B61"/>
    <w:rsid w:val="3F1D739A"/>
    <w:rsid w:val="409E221E"/>
    <w:rsid w:val="420460B1"/>
    <w:rsid w:val="435A7F52"/>
    <w:rsid w:val="436F7EA2"/>
    <w:rsid w:val="44C61D43"/>
    <w:rsid w:val="45B44292"/>
    <w:rsid w:val="45C30031"/>
    <w:rsid w:val="45D67D64"/>
    <w:rsid w:val="469F45FA"/>
    <w:rsid w:val="46A3795D"/>
    <w:rsid w:val="4729480B"/>
    <w:rsid w:val="48B325DE"/>
    <w:rsid w:val="4A4554B8"/>
    <w:rsid w:val="4BE92720"/>
    <w:rsid w:val="4D183358"/>
    <w:rsid w:val="4F4A531F"/>
    <w:rsid w:val="4F93361D"/>
    <w:rsid w:val="50253B41"/>
    <w:rsid w:val="52650D16"/>
    <w:rsid w:val="53DF697E"/>
    <w:rsid w:val="55004DFD"/>
    <w:rsid w:val="55313209"/>
    <w:rsid w:val="582165AC"/>
    <w:rsid w:val="583A07BE"/>
    <w:rsid w:val="587F428B"/>
    <w:rsid w:val="59943D66"/>
    <w:rsid w:val="5AC97A40"/>
    <w:rsid w:val="60121E89"/>
    <w:rsid w:val="60E7238A"/>
    <w:rsid w:val="6118527D"/>
    <w:rsid w:val="62015D11"/>
    <w:rsid w:val="630006BE"/>
    <w:rsid w:val="6307057C"/>
    <w:rsid w:val="631A52DC"/>
    <w:rsid w:val="652C1EC6"/>
    <w:rsid w:val="67E934CF"/>
    <w:rsid w:val="68F30B57"/>
    <w:rsid w:val="697D65C5"/>
    <w:rsid w:val="6A226566"/>
    <w:rsid w:val="6BBD3F31"/>
    <w:rsid w:val="6D4D62AE"/>
    <w:rsid w:val="6D7D3037"/>
    <w:rsid w:val="6E11552E"/>
    <w:rsid w:val="70141305"/>
    <w:rsid w:val="71BE777B"/>
    <w:rsid w:val="72AB5C1E"/>
    <w:rsid w:val="733817AF"/>
    <w:rsid w:val="738348E4"/>
    <w:rsid w:val="740659B9"/>
    <w:rsid w:val="7487479C"/>
    <w:rsid w:val="751C3E82"/>
    <w:rsid w:val="75FB0F9D"/>
    <w:rsid w:val="78CC6C21"/>
    <w:rsid w:val="7A301431"/>
    <w:rsid w:val="7C2244D0"/>
    <w:rsid w:val="7C3E119D"/>
    <w:rsid w:val="7C4C3713"/>
    <w:rsid w:val="7E4D25B2"/>
    <w:rsid w:val="7EC34622"/>
    <w:rsid w:val="7EEF18BB"/>
    <w:rsid w:val="7F1E3F4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qFormat="1" w:unhideWhenUsed="0" w:uiPriority="39"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13">
    <w:name w:val="heading 1"/>
    <w:basedOn w:val="1"/>
    <w:next w:val="1"/>
    <w:link w:val="30"/>
    <w:qFormat/>
    <w:uiPriority w:val="99"/>
    <w:pPr>
      <w:keepNext/>
      <w:spacing w:line="360" w:lineRule="exact"/>
      <w:jc w:val="center"/>
      <w:outlineLvl w:val="0"/>
    </w:pPr>
    <w:rPr>
      <w:b/>
      <w:bCs/>
      <w:spacing w:val="-16"/>
    </w:rPr>
  </w:style>
  <w:style w:type="paragraph" w:styleId="14">
    <w:name w:val="heading 3"/>
    <w:basedOn w:val="1"/>
    <w:next w:val="1"/>
    <w:link w:val="48"/>
    <w:semiHidden/>
    <w:unhideWhenUsed/>
    <w:qFormat/>
    <w:locked/>
    <w:uiPriority w:val="0"/>
    <w:pPr>
      <w:keepNext/>
      <w:keepLines/>
      <w:spacing w:before="260" w:after="260" w:line="416" w:lineRule="auto"/>
      <w:outlineLvl w:val="2"/>
    </w:pPr>
    <w:rPr>
      <w:b/>
      <w:bCs/>
      <w:sz w:val="32"/>
      <w:szCs w:val="32"/>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3"/>
    <w:next w:val="5"/>
    <w:autoRedefine/>
    <w:qFormat/>
    <w:uiPriority w:val="0"/>
    <w:pPr>
      <w:autoSpaceDE w:val="0"/>
      <w:autoSpaceDN w:val="0"/>
      <w:ind w:firstLine="640" w:firstLineChars="200"/>
    </w:pPr>
    <w:rPr>
      <w:rFonts w:ascii="仿宋_GB2312" w:eastAsia="仿宋_GB2312" w:cs="宋体" w:hAnsiTheme="minorEastAsia"/>
      <w:color w:val="FF0000"/>
      <w:kern w:val="0"/>
      <w:sz w:val="32"/>
      <w:szCs w:val="32"/>
    </w:rPr>
  </w:style>
  <w:style w:type="paragraph" w:customStyle="1" w:styleId="3">
    <w:name w:val="纯文本1"/>
    <w:basedOn w:val="1"/>
    <w:next w:val="4"/>
    <w:autoRedefine/>
    <w:qFormat/>
    <w:uiPriority w:val="0"/>
    <w:pPr>
      <w:adjustRightInd w:val="0"/>
    </w:pPr>
    <w:rPr>
      <w:rFonts w:ascii="宋体" w:hAnsi="Courier New"/>
      <w:szCs w:val="20"/>
    </w:rPr>
  </w:style>
  <w:style w:type="paragraph" w:styleId="4">
    <w:name w:val="Plain Text"/>
    <w:basedOn w:val="1"/>
    <w:next w:val="1"/>
    <w:qFormat/>
    <w:uiPriority w:val="0"/>
    <w:rPr>
      <w:rFonts w:ascii="宋体" w:hAnsi="宋体"/>
      <w:szCs w:val="20"/>
    </w:rPr>
  </w:style>
  <w:style w:type="paragraph" w:customStyle="1" w:styleId="5">
    <w:name w:val="样式35"/>
    <w:basedOn w:val="6"/>
    <w:next w:val="7"/>
    <w:autoRedefine/>
    <w:qFormat/>
    <w:uiPriority w:val="0"/>
    <w:pPr>
      <w:tabs>
        <w:tab w:val="left" w:pos="0"/>
        <w:tab w:val="left" w:pos="360"/>
        <w:tab w:val="left" w:pos="480"/>
        <w:tab w:val="left" w:pos="540"/>
        <w:tab w:val="left" w:pos="567"/>
        <w:tab w:val="left" w:pos="720"/>
      </w:tabs>
      <w:spacing w:line="312" w:lineRule="auto"/>
      <w:ind w:firstLine="567"/>
    </w:pPr>
    <w:rPr>
      <w:rFonts w:ascii="宋体"/>
    </w:rPr>
  </w:style>
  <w:style w:type="paragraph" w:customStyle="1" w:styleId="6">
    <w:name w:val="表 内容"/>
    <w:basedOn w:val="1"/>
    <w:qFormat/>
    <w:uiPriority w:val="0"/>
    <w:pPr>
      <w:spacing w:line="276" w:lineRule="auto"/>
      <w:jc w:val="center"/>
    </w:pPr>
    <w:rPr>
      <w:rFonts w:ascii="仿宋" w:hAnsi="仿宋" w:eastAsia="仿宋"/>
      <w:sz w:val="24"/>
    </w:rPr>
  </w:style>
  <w:style w:type="paragraph" w:customStyle="1" w:styleId="7">
    <w:name w:val="font6"/>
    <w:basedOn w:val="1"/>
    <w:next w:val="8"/>
    <w:autoRedefine/>
    <w:qFormat/>
    <w:uiPriority w:val="0"/>
    <w:pPr>
      <w:widowControl/>
      <w:spacing w:before="100" w:beforeAutospacing="1" w:after="100" w:afterAutospacing="1"/>
      <w:jc w:val="left"/>
    </w:pPr>
    <w:rPr>
      <w:rFonts w:hint="eastAsia" w:ascii="宋体" w:hAnsi="宋体" w:cs="Arial Unicode MS"/>
      <w:kern w:val="0"/>
    </w:rPr>
  </w:style>
  <w:style w:type="paragraph" w:styleId="8">
    <w:name w:val="toc 2"/>
    <w:basedOn w:val="1"/>
    <w:next w:val="9"/>
    <w:qFormat/>
    <w:locked/>
    <w:uiPriority w:val="39"/>
    <w:pPr>
      <w:ind w:left="210"/>
      <w:jc w:val="left"/>
    </w:pPr>
    <w:rPr>
      <w:smallCaps/>
    </w:rPr>
  </w:style>
  <w:style w:type="paragraph" w:styleId="9">
    <w:name w:val="E-mail Signature"/>
    <w:basedOn w:val="1"/>
    <w:next w:val="10"/>
    <w:qFormat/>
    <w:uiPriority w:val="0"/>
    <w:pPr>
      <w:spacing w:line="460" w:lineRule="exact"/>
      <w:ind w:firstLine="200"/>
    </w:pPr>
    <w:rPr>
      <w:sz w:val="24"/>
    </w:rPr>
  </w:style>
  <w:style w:type="paragraph" w:customStyle="1" w:styleId="10">
    <w:name w:val="文章"/>
    <w:basedOn w:val="11"/>
    <w:next w:val="12"/>
    <w:autoRedefine/>
    <w:qFormat/>
    <w:uiPriority w:val="0"/>
    <w:pPr>
      <w:widowControl/>
      <w:ind w:firstLine="480"/>
      <w:jc w:val="center"/>
    </w:pPr>
    <w:rPr>
      <w:sz w:val="26"/>
    </w:rPr>
  </w:style>
  <w:style w:type="paragraph" w:styleId="11">
    <w:name w:val="Body Text Indent"/>
    <w:basedOn w:val="1"/>
    <w:qFormat/>
    <w:uiPriority w:val="0"/>
    <w:pPr>
      <w:ind w:left="420" w:leftChars="200"/>
    </w:pPr>
  </w:style>
  <w:style w:type="paragraph" w:styleId="12">
    <w:name w:val="List"/>
    <w:basedOn w:val="1"/>
    <w:next w:val="1"/>
    <w:qFormat/>
    <w:uiPriority w:val="0"/>
    <w:pPr>
      <w:ind w:left="200" w:hanging="200" w:hangingChars="200"/>
    </w:pPr>
    <w:rPr>
      <w:rFonts w:ascii="Times New Roman" w:hAnsi="Times New Roman"/>
    </w:rPr>
  </w:style>
  <w:style w:type="paragraph" w:styleId="15">
    <w:name w:val="Normal Indent"/>
    <w:basedOn w:val="1"/>
    <w:qFormat/>
    <w:uiPriority w:val="99"/>
    <w:pPr>
      <w:ind w:firstLine="420" w:firstLineChars="200"/>
    </w:pPr>
  </w:style>
  <w:style w:type="paragraph" w:styleId="16">
    <w:name w:val="caption"/>
    <w:basedOn w:val="1"/>
    <w:next w:val="1"/>
    <w:semiHidden/>
    <w:unhideWhenUsed/>
    <w:qFormat/>
    <w:locked/>
    <w:uiPriority w:val="0"/>
    <w:rPr>
      <w:rFonts w:eastAsia="黑体" w:asciiTheme="majorHAnsi" w:hAnsiTheme="majorHAnsi" w:cstheme="majorBidi"/>
      <w:sz w:val="20"/>
      <w:szCs w:val="20"/>
    </w:rPr>
  </w:style>
  <w:style w:type="paragraph" w:styleId="17">
    <w:name w:val="Document Map"/>
    <w:basedOn w:val="1"/>
    <w:link w:val="33"/>
    <w:qFormat/>
    <w:uiPriority w:val="99"/>
    <w:rPr>
      <w:rFonts w:ascii="宋体"/>
      <w:sz w:val="18"/>
      <w:szCs w:val="18"/>
    </w:rPr>
  </w:style>
  <w:style w:type="paragraph" w:styleId="18">
    <w:name w:val="annotation text"/>
    <w:basedOn w:val="1"/>
    <w:link w:val="34"/>
    <w:qFormat/>
    <w:uiPriority w:val="99"/>
    <w:pPr>
      <w:jc w:val="left"/>
    </w:pPr>
    <w:rPr>
      <w:szCs w:val="20"/>
    </w:rPr>
  </w:style>
  <w:style w:type="paragraph" w:styleId="19">
    <w:name w:val="Body Text"/>
    <w:basedOn w:val="1"/>
    <w:link w:val="31"/>
    <w:semiHidden/>
    <w:qFormat/>
    <w:uiPriority w:val="99"/>
    <w:pPr>
      <w:spacing w:after="120"/>
    </w:pPr>
  </w:style>
  <w:style w:type="paragraph" w:styleId="20">
    <w:name w:val="Balloon Text"/>
    <w:basedOn w:val="1"/>
    <w:link w:val="35"/>
    <w:qFormat/>
    <w:uiPriority w:val="99"/>
    <w:rPr>
      <w:sz w:val="18"/>
      <w:szCs w:val="18"/>
    </w:rPr>
  </w:style>
  <w:style w:type="paragraph" w:styleId="21">
    <w:name w:val="footer"/>
    <w:basedOn w:val="1"/>
    <w:link w:val="36"/>
    <w:qFormat/>
    <w:uiPriority w:val="99"/>
    <w:pPr>
      <w:tabs>
        <w:tab w:val="center" w:pos="4153"/>
        <w:tab w:val="right" w:pos="8306"/>
      </w:tabs>
      <w:snapToGrid w:val="0"/>
      <w:jc w:val="left"/>
    </w:pPr>
    <w:rPr>
      <w:sz w:val="18"/>
      <w:szCs w:val="18"/>
    </w:rPr>
  </w:style>
  <w:style w:type="paragraph" w:styleId="22">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18"/>
    <w:next w:val="18"/>
    <w:link w:val="47"/>
    <w:semiHidden/>
    <w:unhideWhenUsed/>
    <w:qFormat/>
    <w:uiPriority w:val="99"/>
    <w:rPr>
      <w:b/>
      <w:bCs/>
      <w:szCs w:val="21"/>
    </w:rPr>
  </w:style>
  <w:style w:type="paragraph" w:styleId="25">
    <w:name w:val="Body Text First Indent"/>
    <w:basedOn w:val="19"/>
    <w:link w:val="32"/>
    <w:semiHidden/>
    <w:qFormat/>
    <w:uiPriority w:val="99"/>
    <w:pPr>
      <w:adjustRightInd w:val="0"/>
      <w:snapToGrid w:val="0"/>
      <w:spacing w:after="0" w:line="336" w:lineRule="auto"/>
      <w:ind w:firstLine="480" w:firstLineChars="200"/>
    </w:pPr>
    <w:rPr>
      <w:rFonts w:ascii="宋体" w:hAnsi="宋体"/>
      <w:sz w:val="24"/>
      <w:szCs w:val="20"/>
    </w:rPr>
  </w:style>
  <w:style w:type="table" w:styleId="27">
    <w:name w:val="Table Grid"/>
    <w:basedOn w:val="26"/>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annotation reference"/>
    <w:qFormat/>
    <w:uiPriority w:val="99"/>
    <w:rPr>
      <w:rFonts w:cs="Times New Roman"/>
      <w:sz w:val="21"/>
    </w:rPr>
  </w:style>
  <w:style w:type="character" w:customStyle="1" w:styleId="30">
    <w:name w:val="标题 1 字符"/>
    <w:link w:val="13"/>
    <w:qFormat/>
    <w:locked/>
    <w:uiPriority w:val="99"/>
    <w:rPr>
      <w:rFonts w:ascii="Calibri" w:hAnsi="Calibri" w:eastAsia="宋体" w:cs="Times New Roman"/>
      <w:b/>
      <w:bCs/>
      <w:spacing w:val="-16"/>
      <w:sz w:val="21"/>
      <w:szCs w:val="21"/>
    </w:rPr>
  </w:style>
  <w:style w:type="character" w:customStyle="1" w:styleId="31">
    <w:name w:val="正文文本 字符"/>
    <w:link w:val="19"/>
    <w:semiHidden/>
    <w:qFormat/>
    <w:locked/>
    <w:uiPriority w:val="99"/>
    <w:rPr>
      <w:rFonts w:ascii="Calibri" w:hAnsi="Calibri" w:eastAsia="宋体" w:cs="Times New Roman"/>
      <w:kern w:val="2"/>
      <w:sz w:val="21"/>
      <w:szCs w:val="21"/>
    </w:rPr>
  </w:style>
  <w:style w:type="character" w:customStyle="1" w:styleId="32">
    <w:name w:val="正文首行缩进 字符"/>
    <w:link w:val="25"/>
    <w:semiHidden/>
    <w:qFormat/>
    <w:locked/>
    <w:uiPriority w:val="99"/>
    <w:rPr>
      <w:rFonts w:ascii="宋体" w:hAnsi="宋体" w:eastAsia="宋体" w:cs="Times New Roman"/>
      <w:kern w:val="2"/>
      <w:sz w:val="24"/>
    </w:rPr>
  </w:style>
  <w:style w:type="character" w:customStyle="1" w:styleId="33">
    <w:name w:val="文档结构图 字符"/>
    <w:link w:val="17"/>
    <w:semiHidden/>
    <w:qFormat/>
    <w:locked/>
    <w:uiPriority w:val="99"/>
    <w:rPr>
      <w:rFonts w:ascii="宋体" w:hAnsi="Calibri" w:eastAsia="宋体" w:cs="Times New Roman"/>
      <w:kern w:val="2"/>
      <w:sz w:val="18"/>
      <w:szCs w:val="18"/>
    </w:rPr>
  </w:style>
  <w:style w:type="character" w:customStyle="1" w:styleId="34">
    <w:name w:val="批注文字 字符"/>
    <w:link w:val="18"/>
    <w:qFormat/>
    <w:locked/>
    <w:uiPriority w:val="99"/>
    <w:rPr>
      <w:kern w:val="2"/>
      <w:sz w:val="21"/>
    </w:rPr>
  </w:style>
  <w:style w:type="character" w:customStyle="1" w:styleId="35">
    <w:name w:val="批注框文本 字符"/>
    <w:link w:val="20"/>
    <w:semiHidden/>
    <w:qFormat/>
    <w:locked/>
    <w:uiPriority w:val="99"/>
    <w:rPr>
      <w:rFonts w:ascii="Calibri" w:hAnsi="Calibri" w:eastAsia="宋体" w:cs="Times New Roman"/>
      <w:kern w:val="2"/>
      <w:sz w:val="18"/>
      <w:szCs w:val="18"/>
    </w:rPr>
  </w:style>
  <w:style w:type="character" w:customStyle="1" w:styleId="36">
    <w:name w:val="页脚 字符"/>
    <w:link w:val="21"/>
    <w:qFormat/>
    <w:locked/>
    <w:uiPriority w:val="99"/>
    <w:rPr>
      <w:rFonts w:ascii="Calibri" w:hAnsi="Calibri" w:eastAsia="宋体" w:cs="Times New Roman"/>
      <w:kern w:val="2"/>
      <w:sz w:val="18"/>
      <w:szCs w:val="18"/>
    </w:rPr>
  </w:style>
  <w:style w:type="character" w:customStyle="1" w:styleId="37">
    <w:name w:val="页眉 字符"/>
    <w:link w:val="22"/>
    <w:qFormat/>
    <w:locked/>
    <w:uiPriority w:val="99"/>
    <w:rPr>
      <w:rFonts w:ascii="Calibri" w:hAnsi="Calibri" w:eastAsia="宋体" w:cs="Times New Roman"/>
      <w:kern w:val="2"/>
      <w:sz w:val="18"/>
      <w:szCs w:val="18"/>
    </w:rPr>
  </w:style>
  <w:style w:type="paragraph" w:customStyle="1" w:styleId="38">
    <w:name w:val="列出段落1"/>
    <w:basedOn w:val="1"/>
    <w:qFormat/>
    <w:uiPriority w:val="99"/>
    <w:pPr>
      <w:ind w:firstLine="420" w:firstLineChars="200"/>
    </w:pPr>
  </w:style>
  <w:style w:type="character" w:customStyle="1" w:styleId="39">
    <w:name w:val="正文文本 (2)_"/>
    <w:link w:val="40"/>
    <w:qFormat/>
    <w:locked/>
    <w:uiPriority w:val="99"/>
    <w:rPr>
      <w:rFonts w:ascii="宋体" w:hAnsi="宋体" w:eastAsia="宋体" w:cs="Times New Roman"/>
      <w:sz w:val="22"/>
      <w:shd w:val="clear" w:color="auto" w:fill="FFFFFF"/>
    </w:rPr>
  </w:style>
  <w:style w:type="paragraph" w:customStyle="1" w:styleId="40">
    <w:name w:val="正文文本 (2)"/>
    <w:basedOn w:val="1"/>
    <w:link w:val="39"/>
    <w:qFormat/>
    <w:uiPriority w:val="99"/>
    <w:pPr>
      <w:shd w:val="clear" w:color="auto" w:fill="FFFFFF"/>
      <w:spacing w:line="403" w:lineRule="exact"/>
      <w:ind w:hanging="240"/>
      <w:jc w:val="distribute"/>
    </w:pPr>
    <w:rPr>
      <w:rFonts w:ascii="宋体" w:hAnsi="宋体"/>
      <w:kern w:val="0"/>
      <w:sz w:val="22"/>
      <w:szCs w:val="20"/>
    </w:rPr>
  </w:style>
  <w:style w:type="character" w:customStyle="1" w:styleId="41">
    <w:name w:val="批注文字 字符1"/>
    <w:semiHidden/>
    <w:qFormat/>
    <w:uiPriority w:val="99"/>
    <w:rPr>
      <w:rFonts w:ascii="Calibri" w:hAnsi="Calibri" w:eastAsia="宋体" w:cs="Times New Roman"/>
      <w:kern w:val="2"/>
      <w:sz w:val="21"/>
      <w:szCs w:val="21"/>
    </w:rPr>
  </w:style>
  <w:style w:type="character" w:customStyle="1" w:styleId="42">
    <w:name w:val="批注文字 Char1"/>
    <w:semiHidden/>
    <w:qFormat/>
    <w:locked/>
    <w:uiPriority w:val="99"/>
    <w:rPr>
      <w:rFonts w:ascii="Tahoma" w:hAnsi="Tahoma" w:eastAsia="微软雅黑" w:cs="Times New Roman"/>
      <w:sz w:val="22"/>
      <w:szCs w:val="22"/>
    </w:rPr>
  </w:style>
  <w:style w:type="character" w:customStyle="1" w:styleId="43">
    <w:name w:val="正文首行缩进 Char"/>
    <w:semiHidden/>
    <w:qFormat/>
    <w:uiPriority w:val="99"/>
    <w:rPr>
      <w:rFonts w:ascii="Calibri" w:hAnsi="Calibri" w:eastAsia="宋体" w:cs="Times New Roman"/>
      <w:kern w:val="2"/>
      <w:sz w:val="21"/>
      <w:szCs w:val="21"/>
    </w:rPr>
  </w:style>
  <w:style w:type="character" w:customStyle="1" w:styleId="44">
    <w:name w:val="正文格式 Char"/>
    <w:link w:val="45"/>
    <w:qFormat/>
    <w:locked/>
    <w:uiPriority w:val="0"/>
    <w:rPr>
      <w:rFonts w:ascii="宋体" w:eastAsia="宋体"/>
      <w:sz w:val="24"/>
    </w:rPr>
  </w:style>
  <w:style w:type="paragraph" w:customStyle="1" w:styleId="45">
    <w:name w:val="正文格式"/>
    <w:basedOn w:val="1"/>
    <w:link w:val="44"/>
    <w:qFormat/>
    <w:uiPriority w:val="0"/>
    <w:pPr>
      <w:spacing w:line="360" w:lineRule="auto"/>
      <w:ind w:firstLine="482"/>
    </w:pPr>
    <w:rPr>
      <w:rFonts w:ascii="宋体" w:hAnsi="宋体"/>
      <w:kern w:val="0"/>
      <w:sz w:val="24"/>
      <w:szCs w:val="24"/>
    </w:rPr>
  </w:style>
  <w:style w:type="paragraph" w:styleId="46">
    <w:name w:val="List Paragraph"/>
    <w:basedOn w:val="1"/>
    <w:qFormat/>
    <w:uiPriority w:val="99"/>
    <w:pPr>
      <w:ind w:firstLine="420" w:firstLineChars="200"/>
    </w:pPr>
  </w:style>
  <w:style w:type="character" w:customStyle="1" w:styleId="47">
    <w:name w:val="批注主题 字符"/>
    <w:link w:val="24"/>
    <w:semiHidden/>
    <w:qFormat/>
    <w:uiPriority w:val="99"/>
    <w:rPr>
      <w:b/>
      <w:bCs/>
      <w:kern w:val="2"/>
      <w:sz w:val="21"/>
      <w:szCs w:val="21"/>
    </w:rPr>
  </w:style>
  <w:style w:type="character" w:customStyle="1" w:styleId="48">
    <w:name w:val="标题 3 字符"/>
    <w:link w:val="14"/>
    <w:semiHidden/>
    <w:qFormat/>
    <w:uiPriority w:val="0"/>
    <w:rPr>
      <w:b/>
      <w:bCs/>
      <w:kern w:val="2"/>
      <w:sz w:val="32"/>
      <w:szCs w:val="32"/>
    </w:rPr>
  </w:style>
  <w:style w:type="paragraph" w:customStyle="1" w:styleId="49">
    <w:name w:val="修订1"/>
    <w:hidden/>
    <w:semiHidden/>
    <w:qFormat/>
    <w:uiPriority w:val="99"/>
    <w:rPr>
      <w:rFonts w:ascii="Calibri" w:hAnsi="Calibri" w:eastAsia="宋体" w:cs="Times New Roman"/>
      <w:kern w:val="2"/>
      <w:sz w:val="21"/>
      <w:szCs w:val="21"/>
      <w:lang w:val="en-US" w:eastAsia="zh-CN" w:bidi="ar-SA"/>
    </w:rPr>
  </w:style>
  <w:style w:type="paragraph" w:customStyle="1" w:styleId="50">
    <w:name w:val="ZYS正文"/>
    <w:basedOn w:val="16"/>
    <w:link w:val="51"/>
    <w:qFormat/>
    <w:uiPriority w:val="0"/>
    <w:pPr>
      <w:keepNext/>
      <w:spacing w:line="360" w:lineRule="auto"/>
      <w:ind w:firstLine="200" w:firstLineChars="200"/>
    </w:pPr>
    <w:rPr>
      <w:rFonts w:ascii="Times New Roman" w:hAnsi="Times New Roman" w:eastAsia="宋体"/>
      <w:color w:val="000000"/>
      <w:sz w:val="24"/>
    </w:rPr>
  </w:style>
  <w:style w:type="character" w:customStyle="1" w:styleId="51">
    <w:name w:val="ZYS正文 字符"/>
    <w:basedOn w:val="28"/>
    <w:link w:val="50"/>
    <w:qFormat/>
    <w:uiPriority w:val="0"/>
    <w:rPr>
      <w:rFonts w:ascii="Times New Roman" w:hAnsi="Times New Roman" w:cstheme="majorBidi"/>
      <w:color w:val="000000"/>
      <w:kern w:val="2"/>
      <w:sz w:val="24"/>
    </w:rPr>
  </w:style>
  <w:style w:type="table" w:customStyle="1" w:styleId="5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A9FAE-E455-4C1E-892E-01EFC5F7D9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3257</Words>
  <Characters>3460</Characters>
  <Lines>25</Lines>
  <Paragraphs>7</Paragraphs>
  <TotalTime>28</TotalTime>
  <ScaleCrop>false</ScaleCrop>
  <LinksUpToDate>false</LinksUpToDate>
  <CharactersWithSpaces>3498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2023-09-22T03:23:00Z</dcterms:created>
  <dc:creator>林福青</dc:creator>
  <cp:lastModifiedBy>杨玲珠</cp:lastModifiedBy>
  <cp:lastPrinted>2024-01-02T07:03:00Z</cp:lastPrinted>
  <dcterms:modified xsi:type="dcterms:W3CDTF">2025-07-01T03:31:55Z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eyJoZGlkIjoiOGVmZTgyNWZkNGM3NjViYmM1OWZlMmYyYjMxNWNhZTIiLCJ1c2VySWQiOiIyNzU4NDU3MzAifQ==</vt:lpwstr>
  </property>
  <property fmtid="{D5CDD505-2E9C-101B-9397-08002B2CF9AE}" pid="4" name="ICV">
    <vt:lpwstr>93D48D62A47D4FCA9CA0A2E9B5A048D2_12</vt:lpwstr>
  </property>
</Properties>
</file>