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49954">
      <w:pPr>
        <w:pStyle w:val="18"/>
        <w:keepNext w:val="0"/>
        <w:keepLines w:val="0"/>
        <w:pageBreakBefore w:val="0"/>
        <w:kinsoku/>
        <w:wordWrap/>
        <w:overflowPunct/>
        <w:topLinePunct w:val="0"/>
        <w:autoSpaceDE/>
        <w:autoSpaceDN/>
        <w:bidi w:val="0"/>
        <w:spacing w:line="500" w:lineRule="exact"/>
        <w:textAlignment w:val="auto"/>
        <w:rPr>
          <w:rFonts w:hint="eastAsia" w:ascii="宋体" w:hAnsi="宋体" w:eastAsia="宋体" w:cs="Times New Roman"/>
          <w:b/>
          <w:bCs/>
          <w:snapToGrid/>
          <w:spacing w:val="0"/>
          <w:kern w:val="0"/>
          <w:sz w:val="32"/>
          <w:szCs w:val="32"/>
          <w:lang w:val="en-US" w:eastAsia="zh-CN" w:bidi="ar-SA"/>
        </w:rPr>
      </w:pPr>
      <w:r>
        <w:rPr>
          <w:rFonts w:hint="eastAsia" w:ascii="宋体" w:hAnsi="宋体" w:eastAsia="宋体" w:cs="Times New Roman"/>
          <w:b/>
          <w:bCs/>
          <w:snapToGrid/>
          <w:spacing w:val="0"/>
          <w:kern w:val="0"/>
          <w:sz w:val="32"/>
          <w:szCs w:val="32"/>
          <w:lang w:val="en-US" w:eastAsia="zh-CN" w:bidi="ar-SA"/>
        </w:rPr>
        <w:t>广东美禾生物科技有限公司年产2万吨食用植物油</w:t>
      </w:r>
    </w:p>
    <w:p w14:paraId="0864B744">
      <w:pPr>
        <w:pStyle w:val="18"/>
        <w:keepNext w:val="0"/>
        <w:keepLines w:val="0"/>
        <w:pageBreakBefore w:val="0"/>
        <w:kinsoku/>
        <w:wordWrap/>
        <w:overflowPunct/>
        <w:topLinePunct w:val="0"/>
        <w:autoSpaceDE/>
        <w:autoSpaceDN/>
        <w:bidi w:val="0"/>
        <w:spacing w:line="500" w:lineRule="exact"/>
        <w:textAlignment w:val="auto"/>
        <w:rPr>
          <w:rFonts w:hint="eastAsia" w:ascii="宋体" w:hAnsi="宋体" w:eastAsia="宋体" w:cs="Times New Roman"/>
          <w:b/>
          <w:bCs/>
          <w:snapToGrid/>
          <w:spacing w:val="0"/>
          <w:kern w:val="0"/>
          <w:sz w:val="32"/>
          <w:szCs w:val="32"/>
          <w:lang w:val="en-US" w:eastAsia="zh-CN" w:bidi="ar-SA"/>
        </w:rPr>
      </w:pPr>
      <w:r>
        <w:rPr>
          <w:rFonts w:hint="eastAsia" w:ascii="宋体" w:hAnsi="宋体" w:eastAsia="宋体" w:cs="Times New Roman"/>
          <w:b/>
          <w:bCs/>
          <w:snapToGrid/>
          <w:spacing w:val="0"/>
          <w:kern w:val="0"/>
          <w:sz w:val="32"/>
          <w:szCs w:val="32"/>
          <w:lang w:val="en-US" w:eastAsia="zh-CN" w:bidi="ar-SA"/>
        </w:rPr>
        <w:t>生产线项目竣工环境保护验收意见</w:t>
      </w:r>
    </w:p>
    <w:p w14:paraId="360E582C">
      <w:pPr>
        <w:keepNext w:val="0"/>
        <w:keepLines w:val="0"/>
        <w:pageBreakBefore w:val="0"/>
        <w:widowControl w:val="0"/>
        <w:kinsoku/>
        <w:wordWrap/>
        <w:overflowPunct/>
        <w:topLinePunct w:val="0"/>
        <w:autoSpaceDE/>
        <w:autoSpaceDN/>
        <w:bidi w:val="0"/>
        <w:adjustRightInd/>
        <w:snapToGrid/>
        <w:spacing w:after="0" w:line="560" w:lineRule="exact"/>
        <w:ind w:firstLine="700" w:firstLineChars="250"/>
        <w:jc w:val="both"/>
        <w:textAlignment w:val="auto"/>
        <w:rPr>
          <w:rFonts w:hint="eastAsia" w:ascii="仿宋_GB2312" w:hAnsi="宋体" w:eastAsia="仿宋_GB2312" w:cs="宋体"/>
          <w:snapToGrid/>
          <w:spacing w:val="0"/>
          <w:kern w:val="0"/>
          <w:sz w:val="28"/>
          <w:szCs w:val="28"/>
        </w:rPr>
      </w:pPr>
      <w:r>
        <w:rPr>
          <w:rFonts w:hint="eastAsia" w:ascii="仿宋_GB2312" w:hAnsi="宋体" w:eastAsia="仿宋_GB2312" w:cs="宋体"/>
          <w:snapToGrid/>
          <w:spacing w:val="0"/>
          <w:kern w:val="0"/>
          <w:sz w:val="28"/>
          <w:szCs w:val="28"/>
        </w:rPr>
        <w:t>根据《建设项目环境保护管理条例》（国务院令第682号）和《建设项目竣工环境保护验收暂行办法》（国环规环评〔2017〕4号），2024年9月1</w:t>
      </w:r>
      <w:r>
        <w:rPr>
          <w:rFonts w:hint="eastAsia" w:ascii="仿宋_GB2312" w:hAnsi="宋体" w:eastAsia="仿宋_GB2312" w:cs="宋体"/>
          <w:snapToGrid/>
          <w:spacing w:val="0"/>
          <w:kern w:val="0"/>
          <w:sz w:val="28"/>
          <w:szCs w:val="28"/>
          <w:lang w:val="en-US" w:eastAsia="zh-CN"/>
        </w:rPr>
        <w:t>4</w:t>
      </w:r>
      <w:r>
        <w:rPr>
          <w:rFonts w:hint="eastAsia" w:ascii="仿宋_GB2312" w:hAnsi="宋体" w:eastAsia="仿宋_GB2312" w:cs="宋体"/>
          <w:snapToGrid/>
          <w:spacing w:val="0"/>
          <w:kern w:val="0"/>
          <w:sz w:val="28"/>
          <w:szCs w:val="28"/>
        </w:rPr>
        <w:t>日，广东美禾生物科技有限公司在茂名市高州市金山开发区第五区自编1001号美禾生物会议室召开了“广东美禾生物科技有限公司年产2万吨食用植物油生产线项目竣工环境保护验收会议”。会议成立了环境保护验收工作组（以下简称“验收组”），由建设单位广东美禾生物科技有限公司、验收报告编制单位茂名市</w:t>
      </w:r>
      <w:r>
        <w:rPr>
          <w:rFonts w:hint="eastAsia" w:ascii="仿宋_GB2312" w:hAnsi="宋体" w:eastAsia="仿宋_GB2312" w:cs="宋体"/>
          <w:snapToGrid/>
          <w:spacing w:val="0"/>
          <w:kern w:val="0"/>
          <w:sz w:val="28"/>
          <w:szCs w:val="28"/>
          <w:lang w:eastAsia="zh-CN"/>
        </w:rPr>
        <w:t>盈泰</w:t>
      </w:r>
      <w:r>
        <w:rPr>
          <w:rFonts w:hint="eastAsia" w:ascii="仿宋_GB2312" w:hAnsi="宋体" w:eastAsia="仿宋_GB2312" w:cs="宋体"/>
          <w:snapToGrid/>
          <w:spacing w:val="0"/>
          <w:kern w:val="0"/>
          <w:sz w:val="28"/>
          <w:szCs w:val="28"/>
        </w:rPr>
        <w:t>环保</w:t>
      </w:r>
      <w:r>
        <w:rPr>
          <w:rFonts w:hint="eastAsia" w:ascii="仿宋_GB2312" w:hAnsi="宋体" w:eastAsia="仿宋_GB2312" w:cs="宋体"/>
          <w:snapToGrid/>
          <w:spacing w:val="0"/>
          <w:kern w:val="0"/>
          <w:sz w:val="28"/>
          <w:szCs w:val="28"/>
          <w:lang w:eastAsia="zh-CN"/>
        </w:rPr>
        <w:t>咨询</w:t>
      </w:r>
      <w:r>
        <w:rPr>
          <w:rFonts w:hint="eastAsia" w:ascii="仿宋_GB2312" w:hAnsi="宋体" w:eastAsia="仿宋_GB2312" w:cs="宋体"/>
          <w:snapToGrid/>
          <w:spacing w:val="0"/>
          <w:kern w:val="0"/>
          <w:sz w:val="28"/>
          <w:szCs w:val="28"/>
        </w:rPr>
        <w:t>有限公司和茂名市生态环境局等单位的代表以及特邀的3名专家组成。</w:t>
      </w:r>
    </w:p>
    <w:p w14:paraId="5564475C">
      <w:pPr>
        <w:keepNext w:val="0"/>
        <w:keepLines w:val="0"/>
        <w:pageBreakBefore w:val="0"/>
        <w:widowControl w:val="0"/>
        <w:kinsoku/>
        <w:wordWrap/>
        <w:overflowPunct/>
        <w:topLinePunct w:val="0"/>
        <w:autoSpaceDE/>
        <w:autoSpaceDN/>
        <w:bidi w:val="0"/>
        <w:adjustRightInd/>
        <w:snapToGrid/>
        <w:spacing w:after="0" w:line="560" w:lineRule="exact"/>
        <w:ind w:firstLine="700" w:firstLineChars="250"/>
        <w:jc w:val="both"/>
        <w:textAlignment w:val="auto"/>
        <w:rPr>
          <w:sz w:val="28"/>
          <w:szCs w:val="28"/>
        </w:rPr>
      </w:pPr>
      <w:r>
        <w:rPr>
          <w:rFonts w:hint="eastAsia" w:ascii="仿宋_GB2312" w:hAnsi="宋体" w:eastAsia="仿宋_GB2312" w:cs="宋体"/>
          <w:snapToGrid/>
          <w:spacing w:val="0"/>
          <w:kern w:val="0"/>
          <w:sz w:val="28"/>
          <w:szCs w:val="28"/>
        </w:rPr>
        <w:t>验收组对项目主体工程和环保设施建设情况进行了现场检查，听取了建设单位关于项目工程设计和施工情况的介绍。验收报告编制单位对验收监测报告进行了汇报，并审查了相关验收材料。经过质询和讨论，验收组形成了以下验收意见：</w:t>
      </w:r>
    </w:p>
    <w:p w14:paraId="1B575ACD">
      <w:pPr>
        <w:keepNext w:val="0"/>
        <w:keepLines w:val="0"/>
        <w:pageBreakBefore w:val="0"/>
        <w:widowControl w:val="0"/>
        <w:kinsoku/>
        <w:wordWrap/>
        <w:overflowPunct/>
        <w:topLinePunct w:val="0"/>
        <w:autoSpaceDE/>
        <w:autoSpaceDN/>
        <w:bidi w:val="0"/>
        <w:adjustRightInd/>
        <w:snapToGrid/>
        <w:spacing w:after="0" w:line="560" w:lineRule="exact"/>
        <w:ind w:firstLine="733" w:firstLineChars="250"/>
        <w:jc w:val="both"/>
        <w:textAlignment w:val="auto"/>
        <w:rPr>
          <w:rFonts w:hint="eastAsia" w:ascii="仿宋_GB2312" w:hAnsi="宋体" w:eastAsia="仿宋_GB2312" w:cs="宋体"/>
          <w:b/>
          <w:bCs/>
          <w:snapToGrid/>
          <w:spacing w:val="0"/>
          <w:kern w:val="0"/>
          <w:sz w:val="28"/>
          <w:szCs w:val="28"/>
        </w:rPr>
      </w:pPr>
      <w:r>
        <w:rPr>
          <w:rFonts w:hint="eastAsia"/>
          <w:b/>
          <w:bCs/>
          <w:sz w:val="28"/>
          <w:szCs w:val="28"/>
        </w:rPr>
        <w:t>一、</w:t>
      </w:r>
      <w:r>
        <w:rPr>
          <w:rFonts w:hint="eastAsia" w:ascii="仿宋_GB2312" w:hAnsi="宋体" w:eastAsia="仿宋_GB2312" w:cs="宋体"/>
          <w:b/>
          <w:bCs/>
          <w:snapToGrid/>
          <w:spacing w:val="0"/>
          <w:kern w:val="0"/>
          <w:sz w:val="28"/>
          <w:szCs w:val="28"/>
        </w:rPr>
        <w:t>项目概况</w:t>
      </w:r>
    </w:p>
    <w:p w14:paraId="33ADA011">
      <w:pPr>
        <w:keepNext w:val="0"/>
        <w:keepLines w:val="0"/>
        <w:pageBreakBefore w:val="0"/>
        <w:widowControl w:val="0"/>
        <w:kinsoku/>
        <w:wordWrap/>
        <w:overflowPunct/>
        <w:topLinePunct w:val="0"/>
        <w:autoSpaceDE/>
        <w:autoSpaceDN/>
        <w:bidi w:val="0"/>
        <w:adjustRightInd/>
        <w:snapToGrid/>
        <w:spacing w:after="0" w:line="560" w:lineRule="exact"/>
        <w:ind w:firstLine="700" w:firstLineChars="250"/>
        <w:jc w:val="both"/>
        <w:textAlignment w:val="auto"/>
        <w:rPr>
          <w:rFonts w:hint="eastAsia" w:ascii="仿宋_GB2312" w:hAnsi="宋体" w:eastAsia="仿宋_GB2312" w:cs="宋体"/>
          <w:snapToGrid/>
          <w:spacing w:val="0"/>
          <w:kern w:val="0"/>
          <w:sz w:val="28"/>
          <w:szCs w:val="28"/>
        </w:rPr>
      </w:pPr>
      <w:r>
        <w:rPr>
          <w:rFonts w:hint="eastAsia" w:ascii="仿宋_GB2312" w:hAnsi="宋体" w:eastAsia="仿宋_GB2312" w:cs="宋体"/>
          <w:snapToGrid/>
          <w:spacing w:val="0"/>
          <w:kern w:val="0"/>
          <w:sz w:val="28"/>
          <w:szCs w:val="28"/>
        </w:rPr>
        <w:t>广东美禾生物科技有限公司年产2万吨食用植物油生产线项目位于广东省茂名市高州市金山开发区第五区自编1001号(中心坐标：110°51′49.10″E，21°49′58.500″N)，项目性质为新建。项目主要从植物油加工，设计生产能力为年产2万吨食用植物油。</w:t>
      </w:r>
    </w:p>
    <w:p w14:paraId="584DF1E1">
      <w:pPr>
        <w:keepNext w:val="0"/>
        <w:keepLines w:val="0"/>
        <w:pageBreakBefore w:val="0"/>
        <w:widowControl w:val="0"/>
        <w:kinsoku/>
        <w:wordWrap/>
        <w:overflowPunct/>
        <w:topLinePunct w:val="0"/>
        <w:autoSpaceDE/>
        <w:autoSpaceDN/>
        <w:bidi w:val="0"/>
        <w:adjustRightInd/>
        <w:snapToGrid/>
        <w:spacing w:after="0" w:line="560" w:lineRule="exact"/>
        <w:ind w:firstLine="700" w:firstLineChars="250"/>
        <w:jc w:val="both"/>
        <w:textAlignment w:val="auto"/>
        <w:rPr>
          <w:rFonts w:hint="eastAsia" w:ascii="仿宋_GB2312" w:hAnsi="宋体" w:eastAsia="仿宋_GB2312" w:cs="宋体"/>
          <w:snapToGrid/>
          <w:spacing w:val="0"/>
          <w:kern w:val="0"/>
          <w:sz w:val="28"/>
          <w:szCs w:val="28"/>
        </w:rPr>
      </w:pPr>
      <w:r>
        <w:rPr>
          <w:rFonts w:hint="eastAsia" w:ascii="仿宋_GB2312" w:hAnsi="宋体" w:eastAsia="仿宋_GB2312" w:cs="宋体"/>
          <w:snapToGrid/>
          <w:spacing w:val="0"/>
          <w:kern w:val="0"/>
          <w:sz w:val="28"/>
          <w:szCs w:val="28"/>
        </w:rPr>
        <w:t>广东美禾生物科技有限公司该项目的环境影响报告表由茂名市茂南众泰环保科技有限公司于2021年7月编制完成，茂名市生态环境局以茂环（高州）审（2021）8号文对《广东美禾生物科技有限公司年产2万吨食用植物油生产线项目建设项目环境影响报告表》进行了批复，同意项目建设。项目于2021年8月开工建设，2024年8月竣工，并进行了调试。目前，项目主体工程及其配套建设的环保设施运行正常，满足竣工环境保护验收监测的条件。</w:t>
      </w:r>
    </w:p>
    <w:p w14:paraId="393CAD8C">
      <w:pPr>
        <w:keepNext w:val="0"/>
        <w:keepLines w:val="0"/>
        <w:pageBreakBefore w:val="0"/>
        <w:widowControl w:val="0"/>
        <w:kinsoku/>
        <w:wordWrap/>
        <w:overflowPunct/>
        <w:topLinePunct w:val="0"/>
        <w:autoSpaceDE/>
        <w:autoSpaceDN/>
        <w:bidi w:val="0"/>
        <w:adjustRightInd/>
        <w:snapToGrid/>
        <w:spacing w:after="0" w:line="560" w:lineRule="exact"/>
        <w:ind w:firstLine="700" w:firstLineChars="250"/>
        <w:jc w:val="both"/>
        <w:textAlignment w:val="auto"/>
        <w:rPr>
          <w:rFonts w:hint="eastAsia" w:ascii="仿宋_GB2312" w:hAnsi="宋体" w:eastAsia="仿宋_GB2312" w:cs="宋体"/>
          <w:snapToGrid/>
          <w:spacing w:val="0"/>
          <w:kern w:val="0"/>
          <w:sz w:val="28"/>
          <w:szCs w:val="28"/>
        </w:rPr>
      </w:pPr>
      <w:r>
        <w:rPr>
          <w:rFonts w:hint="eastAsia" w:ascii="仿宋_GB2312" w:hAnsi="宋体" w:eastAsia="仿宋_GB2312" w:cs="宋体"/>
          <w:snapToGrid/>
          <w:spacing w:val="0"/>
          <w:kern w:val="0"/>
          <w:sz w:val="28"/>
          <w:szCs w:val="28"/>
        </w:rPr>
        <w:t>项目实际投资10000万元，其中环保投资100万元，占总投资的1.0%。建设内容主要建设内容包括主体工程、储运工程、辅助工程、公用工程和环保工程。在整个项目建设过程中，未发生环境投诉、违法或处罚记录。本次根据项目环评及其批复对项目进行验收。</w:t>
      </w:r>
    </w:p>
    <w:p w14:paraId="10299AF8">
      <w:pPr>
        <w:pStyle w:val="2"/>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
          <w:bCs/>
          <w:snapToGrid/>
          <w:spacing w:val="0"/>
          <w:kern w:val="0"/>
          <w:sz w:val="28"/>
          <w:szCs w:val="28"/>
          <w:lang w:val="en-US" w:eastAsia="zh-CN" w:bidi="ar-SA"/>
        </w:rPr>
      </w:pPr>
      <w:r>
        <w:rPr>
          <w:rFonts w:hint="eastAsia" w:ascii="仿宋_GB2312" w:hAnsi="宋体" w:eastAsia="仿宋_GB2312" w:cs="宋体"/>
          <w:b/>
          <w:bCs/>
          <w:snapToGrid/>
          <w:spacing w:val="0"/>
          <w:kern w:val="0"/>
          <w:sz w:val="28"/>
          <w:szCs w:val="28"/>
          <w:lang w:val="en-US" w:eastAsia="zh-CN" w:bidi="ar-SA"/>
        </w:rPr>
        <w:t>二、工程变动情况</w:t>
      </w:r>
    </w:p>
    <w:p w14:paraId="03455DB0">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本项目建设规模、地点、生产工艺、污染防治措施等方面与环评报告内容一致。</w:t>
      </w:r>
      <w:bookmarkStart w:id="0" w:name="_GoBack"/>
      <w:bookmarkEnd w:id="0"/>
    </w:p>
    <w:p w14:paraId="07F28165">
      <w:pPr>
        <w:pStyle w:val="2"/>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
          <w:bCs/>
          <w:snapToGrid/>
          <w:spacing w:val="0"/>
          <w:kern w:val="0"/>
          <w:sz w:val="28"/>
          <w:szCs w:val="28"/>
          <w:lang w:val="en-US" w:eastAsia="zh-CN" w:bidi="ar-SA"/>
        </w:rPr>
      </w:pPr>
      <w:r>
        <w:rPr>
          <w:rFonts w:hint="eastAsia" w:ascii="仿宋_GB2312" w:hAnsi="宋体" w:eastAsia="仿宋_GB2312" w:cs="宋体"/>
          <w:b/>
          <w:bCs/>
          <w:snapToGrid/>
          <w:spacing w:val="0"/>
          <w:kern w:val="0"/>
          <w:sz w:val="28"/>
          <w:szCs w:val="28"/>
          <w:lang w:val="en-US" w:eastAsia="zh-CN" w:bidi="ar-SA"/>
        </w:rPr>
        <w:t>三、环境保护设施建设情况</w:t>
      </w:r>
    </w:p>
    <w:p w14:paraId="7E20AEF9">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（一）废水处理设施</w:t>
      </w:r>
    </w:p>
    <w:p w14:paraId="46E57E44">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本项目运营期的废水包含生产废水和生活污水。生产废水涵盖浸出车间冷凝水、地面清洗废水、碱液喷淋塔废水等，此类废水先经企业自建污水处理站采用“混凝气浮+水解酸化+A2O”工艺进行预处理，再经园区污水管网送至金山污水处理厂进一步处理，最终达标后排入白沙河。生活污水主要是员工日常生活产生的，如厕所冲洗水、洗涤水等，通过三级化粪池预处理，之后经园区污水管网送至高州市金山污水处理厂深度处理，达标后排入白沙河。</w:t>
      </w:r>
    </w:p>
    <w:p w14:paraId="611F4785">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（二）废气处理设施</w:t>
      </w:r>
    </w:p>
    <w:p w14:paraId="15B35687">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项目依据《排污许可证申请与核发技术规范 农副食品加工工业 饲料加工、植物油加工工业》（HJ1110-2020）所推荐的可行技术，其营运期废气处理设施建设情况如下：</w:t>
      </w:r>
    </w:p>
    <w:p w14:paraId="1C0B3194">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预处理除杂、破碎粉尘废气采用脉冲布袋除尘器处理，在车间内无组织排放。</w:t>
      </w:r>
    </w:p>
    <w:p w14:paraId="7479C342">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压榨车间蒸炒、压榨、造粒工艺废气通过碱液喷淋塔处理，经18米高的1#排气筒排放。</w:t>
      </w:r>
    </w:p>
    <w:p w14:paraId="7E449DEA">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浸出车间脱溶、溶剂冷却工艺废气的颗粒物经旋风布袋除尘器处理；非甲烷总烃通过冷凝器和二级石蜡油吸收处理，再经18米高的2#排气筒排放。</w:t>
      </w:r>
    </w:p>
    <w:p w14:paraId="296B2800">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溶剂储罐大小呼吸废气通过收集系统或控制呼吸阀管理，非甲烷总烃经冷凝器和二级石蜡油吸收处理，经2#排气筒排放。</w:t>
      </w:r>
    </w:p>
    <w:p w14:paraId="0EEA4392">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食堂油烟废气采用油烟净化器处理，通过专用烟道排放，食堂未投入使用，油烟净化器已经完成配套。</w:t>
      </w:r>
    </w:p>
    <w:p w14:paraId="4C2EFB06">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污水站废气通过加盖封闭和绿化措施减少排放，采取无组织方式排放。</w:t>
      </w:r>
    </w:p>
    <w:p w14:paraId="62EF047B">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化验室废气通过通风橱抽风吸附处理后引至化验室屋顶排放，废气量较小。</w:t>
      </w:r>
    </w:p>
    <w:p w14:paraId="350F010A">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（三）噪声控制措施</w:t>
      </w:r>
    </w:p>
    <w:p w14:paraId="1BA79A9A">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运营期噪声主要来源于生产设备运行、辅助设备运行时产生的噪声，如泵、离心机、空压机、风机等。这些设备在运行时产生的噪声值约为65～95dB(A)。项目采取优选低噪声设备、合理布局、安装隔声罩、基础减振以及在声源处采取封闭等措施进行防治。</w:t>
      </w:r>
    </w:p>
    <w:p w14:paraId="07E2C1BE">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（四）固体废物处理设施</w:t>
      </w:r>
    </w:p>
    <w:p w14:paraId="0E422892">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项目营运期间会产生一般工业固废、危险废物和生活垃圾。一般工业固废中，筛分杂质、废包装袋由环卫部门统一处置，收集粉尘和过滤机滤渣回用于生产，污泥脱水后交有资质单位处理，油脚混合物和皂角外售给饲料厂。对于危险废物，如废机油、废机油桶、化验室废液和废试剂瓶等，建设单位建了规范的危废暂存间并采取防护措施，严格按标准管理，定期交由有资质单位处置，验收时，企业已经与深圳市环保科技集团股份有限公司（危险废物经营许可证：440307140311）签订了危险废物处置协议。而员工日常生活产生的生活垃圾，经分类收集后由环卫部门定期清运，建设单位还设置了分类收集桶以鼓励员工分类，促进资源回收和降低环境影响。。</w:t>
      </w:r>
    </w:p>
    <w:p w14:paraId="24A56780">
      <w:pPr>
        <w:pStyle w:val="2"/>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
          <w:bCs/>
          <w:snapToGrid/>
          <w:spacing w:val="0"/>
          <w:kern w:val="0"/>
          <w:sz w:val="28"/>
          <w:szCs w:val="28"/>
          <w:lang w:val="en-US" w:eastAsia="zh-CN" w:bidi="ar-SA"/>
        </w:rPr>
      </w:pPr>
      <w:r>
        <w:rPr>
          <w:rFonts w:hint="eastAsia" w:ascii="仿宋_GB2312" w:hAnsi="宋体" w:eastAsia="仿宋_GB2312" w:cs="宋体"/>
          <w:b/>
          <w:bCs/>
          <w:snapToGrid/>
          <w:spacing w:val="0"/>
          <w:kern w:val="0"/>
          <w:sz w:val="28"/>
          <w:szCs w:val="28"/>
          <w:lang w:val="en-US" w:eastAsia="zh-CN" w:bidi="ar-SA"/>
        </w:rPr>
        <w:t>四、环境保护设施调试效果</w:t>
      </w:r>
    </w:p>
    <w:p w14:paraId="2C4DC196">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广东美禾生物科技有限公司委托深圳市政研检测技术有限公司对本次建设项目进行了环境监测，深圳市政研检测技术有限公司提供的验收监测报告（报告编号：ZYHJ2408870）显示，所有监测结果均未超过环评批准的限值。具体如下：</w:t>
      </w:r>
    </w:p>
    <w:p w14:paraId="526578BE">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（一）废水处理设施处理效率</w:t>
      </w:r>
    </w:p>
    <w:p w14:paraId="19D604CA">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废水出厂执行广东省《水污染物排放限值》（DB44/26-2001）第二时段三级标准以及园区污水处理厂进水水质要求中的较严值。在2024年8月13日、8月14日验收检测期间，生产废水经“水解酸化+A2O”工艺的污水处理站预处理后，pH、CODCr、BOD5、NH3-N、SS、总氮、总磷、动植物油等指标均符合相关排放标准，实现达标排放。</w:t>
      </w:r>
    </w:p>
    <w:p w14:paraId="243D3B91">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（二）废气处理设施处理效率</w:t>
      </w:r>
    </w:p>
    <w:p w14:paraId="7B673D44">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在验收监测期间，1#压榨车间废气（一般排放口）的非甲烷总烃符合《大气污染物排放限值》（DB44/27-2001）第二时段二级标准；臭气浓度符合《恶臭污染物排放标准》（GB14554-93）二级排放标准。2#浸出车间排气筒（一般排放口）符合《大气污染物排放限值》（DB44/27-2001）第二时段二级标准。由此表明，项目废气处理设施处理效率良好，对环境保护起到了积极的作用。</w:t>
      </w:r>
    </w:p>
    <w:p w14:paraId="624B9640">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（五）无组织废气控制效果</w:t>
      </w:r>
    </w:p>
    <w:p w14:paraId="08D006EB">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在验收监测期间，厂界上风向的1#监测点位、下风向的2#、3#、4#监测点位的颗粒物和非甲烷总烃，均满足广东省《大气污染物排放限值》（DB44/27-2001）第二时段二级标准及无组织排放监控浓度限值；臭气浓度符合《恶臭污染物排放标准》（GB14554-93）二级排放标准。污水站下风向的5#点位，其污水站臭气污染物达到《恶臭污染物排放标准》（GB14554-93）二级排放标准。厂区东南溶剂储存罐处的6#监测点位显示，非甲烷总烃满足《挥发性有机物无组织排放标准》（GB37822-2019）中表A.1中厂区内有机废气无组织排放限值。</w:t>
      </w:r>
    </w:p>
    <w:p w14:paraId="03246769">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（四）生产噪声控制效果</w:t>
      </w:r>
    </w:p>
    <w:p w14:paraId="345631D5">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监测结果显示，广东美禾生物科技有限公司厂界外一米处的生产噪声测量值均达到《工业企业厂界环境噪声排放标准》（GB 12348-2008）3类限值的标准。这表明项目在噪声控制方面达到了预期效果，符合环保要求。</w:t>
      </w:r>
    </w:p>
    <w:p w14:paraId="3A700A6F">
      <w:pPr>
        <w:pStyle w:val="3"/>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（六）固体废物管控效果</w:t>
      </w:r>
    </w:p>
    <w:p w14:paraId="0465171C">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项目在固体废物管控方面效果良好。在建设施工期间，能将建筑垃圾和生活垃圾分别运至指定地点和环卫部门处置，并对建筑垃圾分类处理，严格遵循相关法规。运营期间，一般工业固体废物的处理措施得当，分类收集和存储工作落实到位，不同类型的废物均有合理的处理方式。危险废物管理规范，不仅建有符合标准的暂存间和防护措施，还严格依照相关标准进行管理，并与有资质的单位签订处置协议，保障了危险废物的安全处置。生活垃圾也通过有效的分类收集和定期清运措施，促进了资源回收，减少了环境影响，确保了环境卫生。</w:t>
      </w:r>
    </w:p>
    <w:p w14:paraId="7D207169">
      <w:pPr>
        <w:pStyle w:val="2"/>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
          <w:bCs/>
          <w:snapToGrid/>
          <w:spacing w:val="0"/>
          <w:kern w:val="0"/>
          <w:sz w:val="28"/>
          <w:szCs w:val="28"/>
          <w:lang w:val="en-US" w:eastAsia="zh-CN" w:bidi="ar-SA"/>
        </w:rPr>
      </w:pPr>
      <w:r>
        <w:rPr>
          <w:rFonts w:hint="eastAsia" w:ascii="仿宋_GB2312" w:hAnsi="宋体" w:eastAsia="仿宋_GB2312" w:cs="宋体"/>
          <w:b/>
          <w:bCs/>
          <w:snapToGrid/>
          <w:spacing w:val="0"/>
          <w:kern w:val="0"/>
          <w:sz w:val="28"/>
          <w:szCs w:val="28"/>
          <w:lang w:val="en-US" w:eastAsia="zh-CN" w:bidi="ar-SA"/>
        </w:rPr>
        <w:t>五、工程建设对环境的影响</w:t>
      </w:r>
    </w:p>
    <w:p w14:paraId="06C7F4FA">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项目范围内不涉及敏感生态区域，对生态环境的影响较小。项目通过定期检查废气处理系统、设置危险废物储存间的防渗基础、设置应急池、建立灭火和应急疏散预案等措施，降低了环境风险。根据深圳市政研检测技术有限公司提供的验收监测报告（报告编号：ZYHJ2408870），所有监测结果均未超过环评批准的限值，表明项目在建设和运营期间对环境的影响得到了有效控制，项目对环境影响较小。</w:t>
      </w:r>
    </w:p>
    <w:p w14:paraId="05E71842">
      <w:pPr>
        <w:pStyle w:val="2"/>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
          <w:bCs/>
          <w:snapToGrid/>
          <w:spacing w:val="0"/>
          <w:kern w:val="0"/>
          <w:sz w:val="28"/>
          <w:szCs w:val="28"/>
          <w:lang w:val="en-US" w:eastAsia="zh-CN" w:bidi="ar-SA"/>
        </w:rPr>
      </w:pPr>
      <w:r>
        <w:rPr>
          <w:rFonts w:hint="eastAsia" w:ascii="仿宋_GB2312" w:hAnsi="宋体" w:eastAsia="仿宋_GB2312" w:cs="宋体"/>
          <w:b/>
          <w:bCs/>
          <w:snapToGrid/>
          <w:spacing w:val="0"/>
          <w:kern w:val="0"/>
          <w:sz w:val="28"/>
          <w:szCs w:val="28"/>
          <w:lang w:val="en-US" w:eastAsia="zh-CN" w:bidi="ar-SA"/>
        </w:rPr>
        <w:t>六、验收结论</w:t>
      </w:r>
    </w:p>
    <w:p w14:paraId="206D4148">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对照《建设项目竣工环境保护验收暂行办法》，广东美禾生物科技有限公司年产2万吨食用植物油生产线项目落实了环境影响报告书及批复要求的环保措施，环保设施与主体工程同时设计、同时施工、同时投产，且运行效果良好。环境保护手续齐全，项目污染物排放均达到或优于相关标准，未对周边环境造成不良影响。验收组同意本项目通过竣工环境保护验收。</w:t>
      </w:r>
    </w:p>
    <w:p w14:paraId="35380970">
      <w:pPr>
        <w:pStyle w:val="2"/>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cs="宋体"/>
          <w:b/>
          <w:bCs/>
          <w:snapToGrid/>
          <w:spacing w:val="0"/>
          <w:kern w:val="0"/>
          <w:sz w:val="28"/>
          <w:szCs w:val="28"/>
          <w:lang w:val="en-US" w:eastAsia="zh-CN" w:bidi="ar-SA"/>
        </w:rPr>
      </w:pPr>
      <w:r>
        <w:rPr>
          <w:rFonts w:hint="eastAsia" w:ascii="仿宋_GB2312" w:hAnsi="宋体" w:eastAsia="仿宋_GB2312" w:cs="宋体"/>
          <w:b/>
          <w:bCs/>
          <w:snapToGrid/>
          <w:spacing w:val="0"/>
          <w:kern w:val="0"/>
          <w:sz w:val="28"/>
          <w:szCs w:val="28"/>
          <w:lang w:val="en-US" w:eastAsia="zh-CN" w:bidi="ar-SA"/>
        </w:rPr>
        <w:t>七、后续要求</w:t>
      </w:r>
    </w:p>
    <w:p w14:paraId="2E86844C">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1.加强日常环保管理，严格按照环评文件及批复要求落实各项环保工作。危险废物必须规范存储，并定期委托有资质单位进行处理。完善治理设施运行台账记录。</w:t>
      </w:r>
    </w:p>
    <w:p w14:paraId="798E22E9">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2.为确保具备充足的事故排水缓冲容量，项目所建设的事故应急池务必保持常空状态。非事故状态下，倘若因物料泄漏、废水处理设施不达标等特殊原因确需占用事故应急池时，可临时将其作为缓冲池加以使用，但占用容积不得超过三分之一，且需及时腾空。同时，应具备在事故发生后的30分钟内紧急排空的能力。</w:t>
      </w:r>
    </w:p>
    <w:p w14:paraId="536C0861">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3.不得擅自扩大生产规模，如因生产需要扩建，必须重新报批建设项目环境影响评价文件。对验收合格的项目，需提出针对投入运行后需重点关注的工作要求。</w:t>
      </w:r>
    </w:p>
    <w:p w14:paraId="1164FDC8">
      <w:pPr>
        <w:keepNext w:val="0"/>
        <w:keepLines w:val="0"/>
        <w:pageBreakBefore w:val="0"/>
        <w:kinsoku/>
        <w:wordWrap/>
        <w:overflowPunct/>
        <w:topLinePunct w:val="0"/>
        <w:autoSpaceDE/>
        <w:autoSpaceDN/>
        <w:bidi w:val="0"/>
        <w:spacing w:line="560" w:lineRule="exact"/>
        <w:ind w:firstLine="504"/>
        <w:textAlignment w:val="auto"/>
        <w:rPr>
          <w:rFonts w:hint="eastAsia"/>
          <w:sz w:val="28"/>
          <w:szCs w:val="28"/>
          <w:lang w:val="en-US" w:eastAsia="zh-CN"/>
        </w:rPr>
      </w:pPr>
    </w:p>
    <w:p w14:paraId="6B90AB05">
      <w:pPr>
        <w:keepNext w:val="0"/>
        <w:keepLines w:val="0"/>
        <w:pageBreakBefore w:val="0"/>
        <w:kinsoku/>
        <w:wordWrap/>
        <w:overflowPunct/>
        <w:topLinePunct w:val="0"/>
        <w:autoSpaceDE/>
        <w:autoSpaceDN/>
        <w:bidi w:val="0"/>
        <w:spacing w:line="560" w:lineRule="exact"/>
        <w:ind w:firstLine="504"/>
        <w:textAlignment w:val="auto"/>
        <w:rPr>
          <w:rFonts w:hint="eastAsia"/>
          <w:sz w:val="28"/>
          <w:szCs w:val="28"/>
          <w:lang w:val="en-US" w:eastAsia="zh-CN"/>
        </w:rPr>
      </w:pPr>
    </w:p>
    <w:p w14:paraId="47962720">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附：建设项目竣工环境保护验收签名表</w:t>
      </w:r>
    </w:p>
    <w:p w14:paraId="7D9F2A10">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p>
    <w:p w14:paraId="7B6C4FC2">
      <w:pPr>
        <w:keepNext w:val="0"/>
        <w:keepLines w:val="0"/>
        <w:pageBreakBefore w:val="0"/>
        <w:kinsoku/>
        <w:wordWrap/>
        <w:overflowPunct/>
        <w:topLinePunct w:val="0"/>
        <w:autoSpaceDE/>
        <w:autoSpaceDN/>
        <w:bidi w:val="0"/>
        <w:spacing w:line="560" w:lineRule="exact"/>
        <w:ind w:firstLine="504"/>
        <w:textAlignment w:val="auto"/>
        <w:rPr>
          <w:rFonts w:hint="eastAsia" w:ascii="仿宋_GB2312" w:hAnsi="宋体" w:eastAsia="仿宋_GB2312" w:cs="宋体"/>
          <w:bCs w:val="0"/>
          <w:snapToGrid/>
          <w:spacing w:val="0"/>
          <w:kern w:val="0"/>
          <w:sz w:val="28"/>
          <w:szCs w:val="28"/>
          <w:lang w:val="en-US" w:eastAsia="zh-CN" w:bidi="ar-SA"/>
        </w:rPr>
      </w:pPr>
    </w:p>
    <w:p w14:paraId="49517234">
      <w:pPr>
        <w:keepNext w:val="0"/>
        <w:keepLines w:val="0"/>
        <w:pageBreakBefore w:val="0"/>
        <w:kinsoku/>
        <w:wordWrap/>
        <w:overflowPunct/>
        <w:topLinePunct w:val="0"/>
        <w:autoSpaceDE/>
        <w:autoSpaceDN/>
        <w:bidi w:val="0"/>
        <w:spacing w:line="560" w:lineRule="exact"/>
        <w:ind w:firstLine="2520" w:firstLineChars="900"/>
        <w:jc w:val="righ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广东美禾生物科技有限公司</w:t>
      </w:r>
    </w:p>
    <w:p w14:paraId="32F73FEB">
      <w:pPr>
        <w:keepNext w:val="0"/>
        <w:keepLines w:val="0"/>
        <w:pageBreakBefore w:val="0"/>
        <w:kinsoku/>
        <w:wordWrap/>
        <w:overflowPunct/>
        <w:topLinePunct w:val="0"/>
        <w:autoSpaceDE/>
        <w:autoSpaceDN/>
        <w:bidi w:val="0"/>
        <w:spacing w:line="560" w:lineRule="exact"/>
        <w:ind w:firstLine="504"/>
        <w:jc w:val="right"/>
        <w:textAlignment w:val="auto"/>
        <w:rPr>
          <w:rFonts w:hint="eastAsia" w:ascii="仿宋_GB2312" w:hAnsi="宋体" w:eastAsia="仿宋_GB2312" w:cs="宋体"/>
          <w:bCs w:val="0"/>
          <w:snapToGrid/>
          <w:spacing w:val="0"/>
          <w:kern w:val="0"/>
          <w:sz w:val="28"/>
          <w:szCs w:val="28"/>
          <w:lang w:val="en-US" w:eastAsia="zh-CN" w:bidi="ar-SA"/>
        </w:rPr>
      </w:pPr>
      <w:r>
        <w:rPr>
          <w:rFonts w:hint="eastAsia" w:ascii="仿宋_GB2312" w:hAnsi="宋体" w:eastAsia="仿宋_GB2312" w:cs="宋体"/>
          <w:bCs w:val="0"/>
          <w:snapToGrid/>
          <w:spacing w:val="0"/>
          <w:kern w:val="0"/>
          <w:sz w:val="28"/>
          <w:szCs w:val="28"/>
          <w:lang w:val="en-US" w:eastAsia="zh-CN" w:bidi="ar-SA"/>
        </w:rPr>
        <w:t>2024年9月14日</w:t>
      </w:r>
    </w:p>
    <w:sectPr>
      <w:headerReference r:id="rId6" w:type="first"/>
      <w:footerReference r:id="rId9" w:type="first"/>
      <w:footerReference r:id="rId7" w:type="default"/>
      <w:headerReference r:id="rId5" w:type="even"/>
      <w:footerReference r:id="rId8" w:type="even"/>
      <w:pgSz w:w="11906" w:h="16838"/>
      <w:pgMar w:top="1588" w:right="1021" w:bottom="1021" w:left="1134" w:header="851" w:footer="454"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04"/>
      </w:pPr>
      <w:r>
        <w:separator/>
      </w:r>
    </w:p>
  </w:endnote>
  <w:endnote w:type="continuationSeparator" w:id="1">
    <w:p>
      <w:pPr>
        <w:spacing w:line="240" w:lineRule="auto"/>
        <w:ind w:firstLine="50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思源宋体 CN Medium">
    <w:altName w:val="宋体"/>
    <w:panose1 w:val="00000000000000000000"/>
    <w:charset w:val="86"/>
    <w:family w:val="roman"/>
    <w:pitch w:val="default"/>
    <w:sig w:usb0="00000000" w:usb1="00000000" w:usb2="00000016" w:usb3="00000000" w:csb0="00060107" w:csb1="00000000"/>
  </w:font>
  <w:font w:name="方正小标宋_GBK">
    <w:altName w:val="Arial Unicode MS"/>
    <w:panose1 w:val="03000509000000000000"/>
    <w:charset w:val="86"/>
    <w:family w:val="script"/>
    <w:pitch w:val="default"/>
    <w:sig w:usb0="00000000" w:usb1="00000000" w:usb2="00000010" w:usb3="00000000" w:csb0="00040000" w:csb1="00000000"/>
  </w:font>
  <w:font w:name="IBM Plex Sans">
    <w:altName w:val="Segoe Print"/>
    <w:panose1 w:val="00000000000000000000"/>
    <w:charset w:val="00"/>
    <w:family w:val="swiss"/>
    <w:pitch w:val="default"/>
    <w:sig w:usb0="00000000" w:usb1="00000000" w:usb2="00000000" w:usb3="00000000" w:csb0="0000019F" w:csb1="00000000"/>
  </w:font>
  <w:font w:name="思源黑体 CN Normal">
    <w:altName w:val="微软雅黑"/>
    <w:panose1 w:val="00000000000000000000"/>
    <w:charset w:val="86"/>
    <w:family w:val="swiss"/>
    <w:pitch w:val="default"/>
    <w:sig w:usb0="00000000" w:usb1="00000000" w:usb2="00000016" w:usb3="00000000" w:csb0="00060107" w:csb1="00000000"/>
  </w:font>
  <w:font w:name="思源黑体 CN Bold">
    <w:altName w:val="微软雅黑"/>
    <w:panose1 w:val="00000000000000000000"/>
    <w:charset w:val="86"/>
    <w:family w:val="swiss"/>
    <w:pitch w:val="default"/>
    <w:sig w:usb0="00000000" w:usb1="00000000" w:usb2="00000016" w:usb3="00000000" w:csb0="00060107" w:csb1="00000000"/>
  </w:font>
  <w:font w:name="微软雅黑 Light">
    <w:altName w:val="黑体"/>
    <w:panose1 w:val="020B0502040204020203"/>
    <w:charset w:val="86"/>
    <w:family w:val="swiss"/>
    <w:pitch w:val="default"/>
    <w:sig w:usb0="00000000" w:usb1="00000000" w:usb2="00000016" w:usb3="00000000" w:csb0="0004001F" w:csb1="00000000"/>
  </w:font>
  <w:font w:name="IBM Plex Sans Light">
    <w:altName w:val="Segoe Print"/>
    <w:panose1 w:val="00000000000000000000"/>
    <w:charset w:val="00"/>
    <w:family w:val="swiss"/>
    <w:pitch w:val="default"/>
    <w:sig w:usb0="00000000" w:usb1="00000000" w:usb2="00000000" w:usb3="00000000" w:csb0="0000019F" w:csb1="00000000"/>
  </w:font>
  <w:font w:name="思源宋体 CN SemiBold">
    <w:altName w:val="宋体"/>
    <w:panose1 w:val="00000000000000000000"/>
    <w:charset w:val="86"/>
    <w:family w:val="roman"/>
    <w:pitch w:val="default"/>
    <w:sig w:usb0="00000000" w:usb1="00000000" w:usb2="00000016" w:usb3="00000000" w:csb0="00060107" w:csb1="00000000"/>
  </w:font>
  <w:font w:name="HarmonyOS Sans SC Light">
    <w:altName w:val="宋体"/>
    <w:panose1 w:val="00000400000000000000"/>
    <w:charset w:val="86"/>
    <w:family w:val="auto"/>
    <w:pitch w:val="default"/>
    <w:sig w:usb0="00000000" w:usb1="00000000" w:usb2="00000016" w:usb3="00000000" w:csb0="00040001" w:csb1="00000000"/>
  </w:font>
  <w:font w:name="思源宋体 CN Heavy">
    <w:altName w:val="宋体"/>
    <w:panose1 w:val="00000000000000000000"/>
    <w:charset w:val="86"/>
    <w:family w:val="roman"/>
    <w:pitch w:val="default"/>
    <w:sig w:usb0="00000000" w:usb1="00000000" w:usb2="00000016" w:usb3="00000000" w:csb0="00060107"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F2F6B">
    <w:pPr>
      <w:pStyle w:val="15"/>
    </w:pPr>
    <w:r>
      <w:rPr>
        <w:rFonts w:hint="eastAsia"/>
      </w:rPr>
      <w:t>第</w:t>
    </w:r>
    <w:r>
      <w:t xml:space="preserve"> </w:t>
    </w:r>
    <w:r>
      <w:fldChar w:fldCharType="begin"/>
    </w:r>
    <w:r>
      <w:instrText xml:space="preserve"> PAGE  \* Arabic  \* MERGEFORMAT </w:instrText>
    </w:r>
    <w:r>
      <w:fldChar w:fldCharType="separate"/>
    </w:r>
    <w:r>
      <w:t>1</w:t>
    </w:r>
    <w:r>
      <w:fldChar w:fldCharType="end"/>
    </w:r>
    <w:r>
      <w:t xml:space="preserve"> </w:t>
    </w:r>
    <w:r>
      <w:rPr>
        <w:rFonts w:hint="eastAsia"/>
      </w:rPr>
      <w:t>页·共</w:t>
    </w:r>
    <w:r>
      <w:t xml:space="preserve"> </w:t>
    </w:r>
    <w:r>
      <w:fldChar w:fldCharType="begin"/>
    </w:r>
    <w:r>
      <w:instrText xml:space="preserve"> NUMPAGES  \* Arabic  \* MERGEFORMAT </w:instrText>
    </w:r>
    <w:r>
      <w:fldChar w:fldCharType="separate"/>
    </w:r>
    <w:r>
      <w:t>2</w:t>
    </w:r>
    <w:r>
      <w:fldChar w:fldCharType="end"/>
    </w:r>
    <w:r>
      <w:t xml:space="preserve"> </w:t>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FF5CD">
    <w:pPr>
      <w:pStyle w:val="15"/>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B85CB">
    <w:pPr>
      <w:pStyle w:val="1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04"/>
      </w:pPr>
      <w:r>
        <w:separator/>
      </w:r>
    </w:p>
  </w:footnote>
  <w:footnote w:type="continuationSeparator" w:id="1">
    <w:p>
      <w:pPr>
        <w:spacing w:line="360" w:lineRule="auto"/>
        <w:ind w:firstLine="50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CEA2A">
    <w:pPr>
      <w:pStyle w:val="16"/>
      <w:ind w:firstLine="44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BE1BB">
    <w:pPr>
      <w:pStyle w:val="16"/>
      <w:ind w:firstLine="44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mirrorMargins w:val="1"/>
  <w:bordersDoNotSurroundHeader w:val="1"/>
  <w:bordersDoNotSurroundFooter w:val="1"/>
  <w:documentProtection w:enforcement="0"/>
  <w:defaultTabStop w:val="420"/>
  <w:drawingGridHorizontalSpacing w:val="126"/>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2YzhiNDQ5ODgyMWI5ZDdjNTk5Y2RjOGIwZDU4YzcifQ=="/>
  </w:docVars>
  <w:rsids>
    <w:rsidRoot w:val="00D97752"/>
    <w:rsid w:val="00017585"/>
    <w:rsid w:val="00053D3D"/>
    <w:rsid w:val="00055FEB"/>
    <w:rsid w:val="00095D62"/>
    <w:rsid w:val="000B0EC1"/>
    <w:rsid w:val="000C6EB5"/>
    <w:rsid w:val="000D7367"/>
    <w:rsid w:val="000E0A69"/>
    <w:rsid w:val="000E7E65"/>
    <w:rsid w:val="001053C9"/>
    <w:rsid w:val="00107BC5"/>
    <w:rsid w:val="001112F2"/>
    <w:rsid w:val="00120EF0"/>
    <w:rsid w:val="001426D7"/>
    <w:rsid w:val="00153BA1"/>
    <w:rsid w:val="001547F0"/>
    <w:rsid w:val="001908E4"/>
    <w:rsid w:val="001B1CF4"/>
    <w:rsid w:val="001C547A"/>
    <w:rsid w:val="00243BC3"/>
    <w:rsid w:val="00257A9B"/>
    <w:rsid w:val="002804C2"/>
    <w:rsid w:val="002F631E"/>
    <w:rsid w:val="00316B6C"/>
    <w:rsid w:val="00334A68"/>
    <w:rsid w:val="00343AC5"/>
    <w:rsid w:val="00362FA3"/>
    <w:rsid w:val="003A14F1"/>
    <w:rsid w:val="003B6A0E"/>
    <w:rsid w:val="003D0B77"/>
    <w:rsid w:val="0041131F"/>
    <w:rsid w:val="00413707"/>
    <w:rsid w:val="00445426"/>
    <w:rsid w:val="00485F94"/>
    <w:rsid w:val="004B1BAE"/>
    <w:rsid w:val="004B4B8E"/>
    <w:rsid w:val="00565079"/>
    <w:rsid w:val="005906AF"/>
    <w:rsid w:val="00595B84"/>
    <w:rsid w:val="00595F2A"/>
    <w:rsid w:val="00623535"/>
    <w:rsid w:val="006323A1"/>
    <w:rsid w:val="006409B2"/>
    <w:rsid w:val="0065032B"/>
    <w:rsid w:val="0065124B"/>
    <w:rsid w:val="00667455"/>
    <w:rsid w:val="006A024D"/>
    <w:rsid w:val="00705637"/>
    <w:rsid w:val="00711C95"/>
    <w:rsid w:val="007903D0"/>
    <w:rsid w:val="007A0B65"/>
    <w:rsid w:val="007A7255"/>
    <w:rsid w:val="007C1FBA"/>
    <w:rsid w:val="0080159A"/>
    <w:rsid w:val="008043D2"/>
    <w:rsid w:val="008064BA"/>
    <w:rsid w:val="00811D42"/>
    <w:rsid w:val="00815855"/>
    <w:rsid w:val="00821B43"/>
    <w:rsid w:val="00873EDD"/>
    <w:rsid w:val="008851E7"/>
    <w:rsid w:val="00885B0E"/>
    <w:rsid w:val="008A5DA0"/>
    <w:rsid w:val="008F7FF6"/>
    <w:rsid w:val="009038A8"/>
    <w:rsid w:val="00943332"/>
    <w:rsid w:val="00973B27"/>
    <w:rsid w:val="00976858"/>
    <w:rsid w:val="00984A9D"/>
    <w:rsid w:val="00986A95"/>
    <w:rsid w:val="00995B3E"/>
    <w:rsid w:val="009B68F6"/>
    <w:rsid w:val="009D7A02"/>
    <w:rsid w:val="00A03822"/>
    <w:rsid w:val="00A22DED"/>
    <w:rsid w:val="00A579C7"/>
    <w:rsid w:val="00A909DC"/>
    <w:rsid w:val="00AA5627"/>
    <w:rsid w:val="00B016D9"/>
    <w:rsid w:val="00B046E4"/>
    <w:rsid w:val="00B07C11"/>
    <w:rsid w:val="00B2019A"/>
    <w:rsid w:val="00B83E05"/>
    <w:rsid w:val="00B937EA"/>
    <w:rsid w:val="00BA70BD"/>
    <w:rsid w:val="00BF5A71"/>
    <w:rsid w:val="00C52460"/>
    <w:rsid w:val="00C62F70"/>
    <w:rsid w:val="00C75EFD"/>
    <w:rsid w:val="00C91E79"/>
    <w:rsid w:val="00C925A2"/>
    <w:rsid w:val="00C939D3"/>
    <w:rsid w:val="00C97BE2"/>
    <w:rsid w:val="00CA1A41"/>
    <w:rsid w:val="00CA3E6E"/>
    <w:rsid w:val="00CB54C1"/>
    <w:rsid w:val="00CC0C29"/>
    <w:rsid w:val="00CE1283"/>
    <w:rsid w:val="00CF568C"/>
    <w:rsid w:val="00D37C46"/>
    <w:rsid w:val="00D535CD"/>
    <w:rsid w:val="00D603DF"/>
    <w:rsid w:val="00D61D8B"/>
    <w:rsid w:val="00D85994"/>
    <w:rsid w:val="00D97752"/>
    <w:rsid w:val="00D97A96"/>
    <w:rsid w:val="00DC6932"/>
    <w:rsid w:val="00E23548"/>
    <w:rsid w:val="00E40CFA"/>
    <w:rsid w:val="00E50AFA"/>
    <w:rsid w:val="00E54519"/>
    <w:rsid w:val="00E6430E"/>
    <w:rsid w:val="00E80258"/>
    <w:rsid w:val="00EC440F"/>
    <w:rsid w:val="00EF6D3E"/>
    <w:rsid w:val="00F00E6D"/>
    <w:rsid w:val="00F46DF9"/>
    <w:rsid w:val="00F6063F"/>
    <w:rsid w:val="00F73CF8"/>
    <w:rsid w:val="00FB0BB6"/>
    <w:rsid w:val="00FB1A70"/>
    <w:rsid w:val="00FB4201"/>
    <w:rsid w:val="00FD2579"/>
    <w:rsid w:val="00FE2EB0"/>
    <w:rsid w:val="00FF19A9"/>
    <w:rsid w:val="13970BC5"/>
    <w:rsid w:val="1CCC4B44"/>
    <w:rsid w:val="1CFB3A0D"/>
    <w:rsid w:val="23B62338"/>
    <w:rsid w:val="278422DC"/>
    <w:rsid w:val="2D8D42F0"/>
    <w:rsid w:val="3281028A"/>
    <w:rsid w:val="42AA5A11"/>
    <w:rsid w:val="53197A0D"/>
    <w:rsid w:val="607D7ADE"/>
    <w:rsid w:val="60A91DEE"/>
    <w:rsid w:val="64022FEC"/>
    <w:rsid w:val="7E80267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200" w:firstLineChars="200"/>
      <w:jc w:val="both"/>
    </w:pPr>
    <w:rPr>
      <w:rFonts w:hAnsi="思源宋体 CN Medium" w:asciiTheme="minorEastAsia" w:eastAsiaTheme="minorEastAsia" w:cstheme="minorBidi"/>
      <w:snapToGrid w:val="0"/>
      <w:spacing w:val="6"/>
      <w:sz w:val="24"/>
      <w:szCs w:val="24"/>
      <w:lang w:val="en-US" w:eastAsia="zh-CN" w:bidi="ar-SA"/>
    </w:rPr>
  </w:style>
  <w:style w:type="paragraph" w:styleId="2">
    <w:name w:val="heading 1"/>
    <w:next w:val="1"/>
    <w:link w:val="25"/>
    <w:qFormat/>
    <w:uiPriority w:val="9"/>
    <w:pPr>
      <w:adjustRightInd w:val="0"/>
      <w:snapToGrid w:val="0"/>
      <w:spacing w:before="60" w:after="60"/>
      <w:jc w:val="both"/>
      <w:outlineLvl w:val="0"/>
    </w:pPr>
    <w:rPr>
      <w:rFonts w:asciiTheme="majorHAnsi" w:hAnsiTheme="majorHAnsi" w:eastAsiaTheme="majorEastAsia" w:cstheme="majorBidi"/>
      <w:bCs/>
      <w:snapToGrid w:val="0"/>
      <w:spacing w:val="6"/>
      <w:sz w:val="28"/>
      <w:szCs w:val="28"/>
      <w:lang w:val="en-US" w:eastAsia="zh-CN" w:bidi="ar-SA"/>
    </w:rPr>
  </w:style>
  <w:style w:type="paragraph" w:styleId="3">
    <w:name w:val="heading 2"/>
    <w:basedOn w:val="2"/>
    <w:next w:val="1"/>
    <w:link w:val="26"/>
    <w:unhideWhenUsed/>
    <w:qFormat/>
    <w:uiPriority w:val="9"/>
    <w:pPr>
      <w:outlineLvl w:val="1"/>
    </w:pPr>
    <w:rPr>
      <w:bCs w:val="0"/>
      <w:sz w:val="24"/>
    </w:rPr>
  </w:style>
  <w:style w:type="paragraph" w:styleId="4">
    <w:name w:val="heading 3"/>
    <w:basedOn w:val="3"/>
    <w:next w:val="1"/>
    <w:link w:val="27"/>
    <w:unhideWhenUsed/>
    <w:qFormat/>
    <w:uiPriority w:val="9"/>
    <w:pPr>
      <w:outlineLvl w:val="2"/>
    </w:pPr>
    <w:rPr>
      <w:sz w:val="28"/>
      <w:szCs w:val="24"/>
    </w:rPr>
  </w:style>
  <w:style w:type="paragraph" w:styleId="5">
    <w:name w:val="heading 4"/>
    <w:basedOn w:val="4"/>
    <w:next w:val="1"/>
    <w:link w:val="28"/>
    <w:semiHidden/>
    <w:unhideWhenUsed/>
    <w:qFormat/>
    <w:uiPriority w:val="9"/>
    <w:pPr>
      <w:spacing w:before="120" w:after="0"/>
      <w:outlineLvl w:val="3"/>
    </w:pPr>
    <w:rPr>
      <w:iCs/>
    </w:rPr>
  </w:style>
  <w:style w:type="paragraph" w:styleId="6">
    <w:name w:val="heading 5"/>
    <w:basedOn w:val="1"/>
    <w:next w:val="1"/>
    <w:link w:val="29"/>
    <w:semiHidden/>
    <w:unhideWhenUsed/>
    <w:qFormat/>
    <w:uiPriority w:val="9"/>
    <w:pPr>
      <w:keepNext/>
      <w:keepLines/>
      <w:spacing w:before="120"/>
      <w:outlineLvl w:val="4"/>
    </w:pPr>
    <w:rPr>
      <w:rFonts w:asciiTheme="majorHAnsi" w:hAnsiTheme="majorHAnsi" w:eastAsiaTheme="majorEastAsia" w:cstheme="majorBidi"/>
      <w:b/>
      <w:bCs/>
      <w:snapToGrid/>
      <w:spacing w:val="0"/>
      <w:sz w:val="20"/>
      <w:szCs w:val="20"/>
    </w:rPr>
  </w:style>
  <w:style w:type="paragraph" w:styleId="7">
    <w:name w:val="heading 6"/>
    <w:basedOn w:val="1"/>
    <w:next w:val="1"/>
    <w:link w:val="30"/>
    <w:semiHidden/>
    <w:unhideWhenUsed/>
    <w:qFormat/>
    <w:uiPriority w:val="9"/>
    <w:pPr>
      <w:keepNext/>
      <w:keepLines/>
      <w:spacing w:before="120"/>
      <w:outlineLvl w:val="5"/>
    </w:pPr>
    <w:rPr>
      <w:rFonts w:asciiTheme="majorHAnsi" w:hAnsiTheme="majorHAnsi" w:eastAsiaTheme="majorEastAsia" w:cstheme="majorBidi"/>
      <w:b/>
      <w:bCs/>
      <w:i/>
      <w:iCs/>
      <w:snapToGrid/>
      <w:spacing w:val="0"/>
      <w:sz w:val="20"/>
      <w:szCs w:val="20"/>
    </w:rPr>
  </w:style>
  <w:style w:type="paragraph" w:styleId="8">
    <w:name w:val="heading 7"/>
    <w:basedOn w:val="1"/>
    <w:next w:val="1"/>
    <w:link w:val="31"/>
    <w:semiHidden/>
    <w:unhideWhenUsed/>
    <w:qFormat/>
    <w:uiPriority w:val="9"/>
    <w:pPr>
      <w:keepNext/>
      <w:keepLines/>
      <w:spacing w:before="120"/>
      <w:outlineLvl w:val="6"/>
    </w:pPr>
    <w:rPr>
      <w:rFonts w:asciiTheme="minorHAnsi" w:hAnsiTheme="minorHAnsi"/>
      <w:i/>
      <w:iCs/>
      <w:snapToGrid/>
      <w:spacing w:val="0"/>
      <w:sz w:val="20"/>
      <w:szCs w:val="20"/>
    </w:rPr>
  </w:style>
  <w:style w:type="paragraph" w:styleId="9">
    <w:name w:val="heading 8"/>
    <w:basedOn w:val="1"/>
    <w:next w:val="1"/>
    <w:link w:val="32"/>
    <w:semiHidden/>
    <w:unhideWhenUsed/>
    <w:qFormat/>
    <w:uiPriority w:val="9"/>
    <w:pPr>
      <w:keepNext/>
      <w:keepLines/>
      <w:spacing w:before="120"/>
      <w:outlineLvl w:val="7"/>
    </w:pPr>
    <w:rPr>
      <w:rFonts w:asciiTheme="minorHAnsi" w:hAnsiTheme="minorHAnsi"/>
      <w:b/>
      <w:bCs/>
      <w:snapToGrid/>
      <w:spacing w:val="0"/>
      <w:sz w:val="20"/>
      <w:szCs w:val="20"/>
    </w:rPr>
  </w:style>
  <w:style w:type="paragraph" w:styleId="10">
    <w:name w:val="heading 9"/>
    <w:basedOn w:val="1"/>
    <w:next w:val="1"/>
    <w:link w:val="33"/>
    <w:semiHidden/>
    <w:unhideWhenUsed/>
    <w:qFormat/>
    <w:uiPriority w:val="9"/>
    <w:pPr>
      <w:keepNext/>
      <w:keepLines/>
      <w:spacing w:before="120"/>
      <w:outlineLvl w:val="8"/>
    </w:pPr>
    <w:rPr>
      <w:i/>
      <w:i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
    <w:unhideWhenUsed/>
    <w:qFormat/>
    <w:uiPriority w:val="35"/>
    <w:pPr>
      <w:adjustRightInd w:val="0"/>
      <w:snapToGrid w:val="0"/>
      <w:jc w:val="center"/>
    </w:pPr>
    <w:rPr>
      <w:rFonts w:ascii="IBM Plex Sans" w:hAnsi="IBM Plex Sans" w:eastAsia="思源黑体 CN Normal" w:cstheme="minorBidi"/>
      <w:bCs/>
      <w:snapToGrid w:val="0"/>
      <w:spacing w:val="6"/>
      <w:sz w:val="18"/>
      <w:szCs w:val="18"/>
      <w:lang w:val="en-US" w:eastAsia="zh-CN" w:bidi="ar-SA"/>
    </w:rPr>
  </w:style>
  <w:style w:type="paragraph" w:styleId="12">
    <w:name w:val="toc 3"/>
    <w:basedOn w:val="13"/>
    <w:next w:val="1"/>
    <w:unhideWhenUsed/>
    <w:qFormat/>
    <w:uiPriority w:val="39"/>
    <w:pPr>
      <w:ind w:left="350" w:leftChars="350"/>
    </w:pPr>
    <w:rPr>
      <w:sz w:val="20"/>
    </w:rPr>
  </w:style>
  <w:style w:type="paragraph" w:styleId="13">
    <w:name w:val="toc 2"/>
    <w:basedOn w:val="14"/>
    <w:next w:val="1"/>
    <w:unhideWhenUsed/>
    <w:qFormat/>
    <w:uiPriority w:val="39"/>
    <w:pPr>
      <w:ind w:left="200" w:leftChars="200"/>
    </w:pPr>
    <w:rPr>
      <w:rFonts w:asciiTheme="minorHAnsi" w:hAnsiTheme="minorHAnsi" w:eastAsiaTheme="minorEastAsia"/>
    </w:rPr>
  </w:style>
  <w:style w:type="paragraph" w:styleId="14">
    <w:name w:val="toc 1"/>
    <w:basedOn w:val="1"/>
    <w:next w:val="1"/>
    <w:unhideWhenUsed/>
    <w:qFormat/>
    <w:uiPriority w:val="39"/>
    <w:pPr>
      <w:spacing w:line="264" w:lineRule="auto"/>
      <w:ind w:firstLine="0" w:firstLineChars="0"/>
    </w:pPr>
    <w:rPr>
      <w:rFonts w:asciiTheme="majorHAnsi" w:hAnsiTheme="majorHAnsi" w:eastAsiaTheme="majorEastAsia"/>
    </w:rPr>
  </w:style>
  <w:style w:type="paragraph" w:styleId="15">
    <w:name w:val="footer"/>
    <w:basedOn w:val="1"/>
    <w:link w:val="48"/>
    <w:unhideWhenUsed/>
    <w:uiPriority w:val="99"/>
    <w:pPr>
      <w:tabs>
        <w:tab w:val="center" w:pos="4153"/>
        <w:tab w:val="right" w:pos="8306"/>
      </w:tabs>
      <w:spacing w:line="240" w:lineRule="auto"/>
      <w:ind w:firstLine="0" w:firstLineChars="0"/>
      <w:jc w:val="center"/>
    </w:pPr>
    <w:rPr>
      <w:rFonts w:asciiTheme="minorHAnsi" w:hAnsiTheme="minorHAnsi"/>
      <w:sz w:val="21"/>
      <w:szCs w:val="18"/>
    </w:rPr>
  </w:style>
  <w:style w:type="paragraph" w:styleId="16">
    <w:name w:val="header"/>
    <w:basedOn w:val="1"/>
    <w:link w:val="47"/>
    <w:unhideWhenUsed/>
    <w:uiPriority w:val="99"/>
    <w:pPr>
      <w:pBdr>
        <w:bottom w:val="thinThickLargeGap" w:color="auto" w:sz="24" w:space="1"/>
      </w:pBdr>
      <w:tabs>
        <w:tab w:val="center" w:pos="4153"/>
        <w:tab w:val="right" w:pos="8306"/>
      </w:tabs>
      <w:spacing w:line="240" w:lineRule="auto"/>
      <w:ind w:firstLine="0"/>
      <w:jc w:val="center"/>
    </w:pPr>
    <w:rPr>
      <w:sz w:val="21"/>
      <w:szCs w:val="18"/>
    </w:rPr>
  </w:style>
  <w:style w:type="paragraph" w:styleId="17">
    <w:name w:val="Subtitle"/>
    <w:basedOn w:val="18"/>
    <w:next w:val="1"/>
    <w:link w:val="35"/>
    <w:qFormat/>
    <w:uiPriority w:val="11"/>
    <w:pPr>
      <w:spacing w:before="100" w:beforeAutospacing="1" w:after="100" w:afterAutospacing="1"/>
    </w:pPr>
    <w:rPr>
      <w:spacing w:val="6"/>
      <w:sz w:val="30"/>
      <w:szCs w:val="24"/>
    </w:rPr>
  </w:style>
  <w:style w:type="paragraph" w:styleId="18">
    <w:name w:val="Title"/>
    <w:next w:val="1"/>
    <w:link w:val="34"/>
    <w:qFormat/>
    <w:uiPriority w:val="10"/>
    <w:pPr>
      <w:adjustRightInd w:val="0"/>
      <w:snapToGrid w:val="0"/>
      <w:spacing w:after="240"/>
      <w:contextualSpacing/>
      <w:jc w:val="center"/>
    </w:pPr>
    <w:rPr>
      <w:rFonts w:asciiTheme="majorHAnsi" w:hAnsiTheme="majorHAnsi" w:eastAsiaTheme="majorEastAsia" w:cstheme="majorBidi"/>
      <w:bCs/>
      <w:snapToGrid w:val="0"/>
      <w:spacing w:val="17"/>
      <w:sz w:val="36"/>
      <w:szCs w:val="48"/>
      <w:lang w:val="en-US" w:eastAsia="zh-CN" w:bidi="ar-SA"/>
    </w:rPr>
  </w:style>
  <w:style w:type="table" w:styleId="20">
    <w:name w:val="Table Grid"/>
    <w:basedOn w:val="19"/>
    <w:qFormat/>
    <w:uiPriority w:val="39"/>
    <w:pPr>
      <w:adjustRightInd w:val="0"/>
      <w:snapToGrid w:val="0"/>
      <w:spacing w:line="276" w:lineRule="auto"/>
    </w:pPr>
    <w:rPr>
      <w:snapToGrid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character" w:styleId="22">
    <w:name w:val="Strong"/>
    <w:basedOn w:val="21"/>
    <w:qFormat/>
    <w:uiPriority w:val="22"/>
    <w:rPr>
      <w:rFonts w:ascii="黑体" w:hAnsi="思源黑体 CN Bold" w:eastAsia="黑体"/>
      <w:bCs/>
      <w:sz w:val="24"/>
    </w:rPr>
  </w:style>
  <w:style w:type="character" w:styleId="23">
    <w:name w:val="Emphasis"/>
    <w:basedOn w:val="21"/>
    <w:qFormat/>
    <w:uiPriority w:val="20"/>
    <w:rPr>
      <w:i/>
      <w:iCs/>
      <w:color w:val="auto"/>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customStyle="1" w:styleId="25">
    <w:name w:val="Heading 1 Char"/>
    <w:basedOn w:val="21"/>
    <w:link w:val="2"/>
    <w:qFormat/>
    <w:uiPriority w:val="9"/>
    <w:rPr>
      <w:rFonts w:asciiTheme="majorHAnsi" w:hAnsiTheme="majorHAnsi" w:eastAsiaTheme="majorEastAsia" w:cstheme="majorBidi"/>
      <w:bCs/>
      <w:snapToGrid w:val="0"/>
      <w:spacing w:val="6"/>
      <w:sz w:val="28"/>
      <w:szCs w:val="28"/>
    </w:rPr>
  </w:style>
  <w:style w:type="character" w:customStyle="1" w:styleId="26">
    <w:name w:val="Heading 2 Char"/>
    <w:basedOn w:val="21"/>
    <w:link w:val="3"/>
    <w:qFormat/>
    <w:uiPriority w:val="9"/>
    <w:rPr>
      <w:rFonts w:asciiTheme="majorHAnsi" w:hAnsiTheme="majorHAnsi" w:eastAsiaTheme="majorEastAsia" w:cstheme="majorBidi"/>
      <w:snapToGrid w:val="0"/>
      <w:spacing w:val="6"/>
      <w:sz w:val="24"/>
      <w:szCs w:val="28"/>
    </w:rPr>
  </w:style>
  <w:style w:type="character" w:customStyle="1" w:styleId="27">
    <w:name w:val="Heading 3 Char"/>
    <w:basedOn w:val="21"/>
    <w:link w:val="4"/>
    <w:qFormat/>
    <w:uiPriority w:val="9"/>
    <w:rPr>
      <w:rFonts w:asciiTheme="majorHAnsi" w:hAnsiTheme="majorHAnsi" w:eastAsiaTheme="majorEastAsia" w:cstheme="majorBidi"/>
      <w:snapToGrid w:val="0"/>
      <w:spacing w:val="6"/>
      <w:sz w:val="28"/>
      <w:szCs w:val="24"/>
    </w:rPr>
  </w:style>
  <w:style w:type="character" w:customStyle="1" w:styleId="28">
    <w:name w:val="Heading 4 Char"/>
    <w:basedOn w:val="21"/>
    <w:link w:val="5"/>
    <w:semiHidden/>
    <w:qFormat/>
    <w:uiPriority w:val="9"/>
    <w:rPr>
      <w:rFonts w:asciiTheme="majorHAnsi" w:hAnsiTheme="majorHAnsi" w:eastAsiaTheme="majorEastAsia" w:cstheme="majorBidi"/>
      <w:iCs/>
      <w:snapToGrid w:val="0"/>
      <w:spacing w:val="6"/>
      <w:sz w:val="22"/>
      <w:szCs w:val="24"/>
    </w:rPr>
  </w:style>
  <w:style w:type="character" w:customStyle="1" w:styleId="29">
    <w:name w:val="Heading 5 Char"/>
    <w:basedOn w:val="21"/>
    <w:link w:val="6"/>
    <w:semiHidden/>
    <w:qFormat/>
    <w:uiPriority w:val="9"/>
    <w:rPr>
      <w:rFonts w:asciiTheme="majorHAnsi" w:hAnsiTheme="majorHAnsi" w:eastAsiaTheme="majorEastAsia" w:cstheme="majorBidi"/>
      <w:b/>
      <w:bCs/>
    </w:rPr>
  </w:style>
  <w:style w:type="character" w:customStyle="1" w:styleId="30">
    <w:name w:val="Heading 6 Char"/>
    <w:basedOn w:val="21"/>
    <w:link w:val="7"/>
    <w:semiHidden/>
    <w:qFormat/>
    <w:uiPriority w:val="9"/>
    <w:rPr>
      <w:rFonts w:asciiTheme="majorHAnsi" w:hAnsiTheme="majorHAnsi" w:eastAsiaTheme="majorEastAsia" w:cstheme="majorBidi"/>
      <w:b/>
      <w:bCs/>
      <w:i/>
      <w:iCs/>
    </w:rPr>
  </w:style>
  <w:style w:type="character" w:customStyle="1" w:styleId="31">
    <w:name w:val="Heading 7 Char"/>
    <w:basedOn w:val="21"/>
    <w:link w:val="8"/>
    <w:semiHidden/>
    <w:qFormat/>
    <w:uiPriority w:val="9"/>
    <w:rPr>
      <w:i/>
      <w:iCs/>
    </w:rPr>
  </w:style>
  <w:style w:type="character" w:customStyle="1" w:styleId="32">
    <w:name w:val="Heading 8 Char"/>
    <w:basedOn w:val="21"/>
    <w:link w:val="9"/>
    <w:semiHidden/>
    <w:qFormat/>
    <w:uiPriority w:val="9"/>
    <w:rPr>
      <w:b/>
      <w:bCs/>
    </w:rPr>
  </w:style>
  <w:style w:type="character" w:customStyle="1" w:styleId="33">
    <w:name w:val="Heading 9 Char"/>
    <w:basedOn w:val="21"/>
    <w:link w:val="10"/>
    <w:semiHidden/>
    <w:qFormat/>
    <w:uiPriority w:val="9"/>
    <w:rPr>
      <w:i/>
      <w:iCs/>
    </w:rPr>
  </w:style>
  <w:style w:type="character" w:customStyle="1" w:styleId="34">
    <w:name w:val="Title Char"/>
    <w:basedOn w:val="21"/>
    <w:link w:val="18"/>
    <w:qFormat/>
    <w:uiPriority w:val="10"/>
    <w:rPr>
      <w:rFonts w:asciiTheme="majorHAnsi" w:hAnsiTheme="majorHAnsi" w:eastAsiaTheme="majorEastAsia" w:cstheme="majorBidi"/>
      <w:bCs/>
      <w:snapToGrid w:val="0"/>
      <w:spacing w:val="17"/>
      <w:sz w:val="36"/>
      <w:szCs w:val="48"/>
    </w:rPr>
  </w:style>
  <w:style w:type="character" w:customStyle="1" w:styleId="35">
    <w:name w:val="Subtitle Char"/>
    <w:basedOn w:val="21"/>
    <w:link w:val="17"/>
    <w:qFormat/>
    <w:uiPriority w:val="11"/>
    <w:rPr>
      <w:rFonts w:asciiTheme="majorHAnsi" w:hAnsiTheme="majorHAnsi" w:eastAsiaTheme="majorEastAsia" w:cstheme="majorBidi"/>
      <w:bCs/>
      <w:snapToGrid w:val="0"/>
      <w:spacing w:val="6"/>
      <w:sz w:val="30"/>
      <w:szCs w:val="24"/>
    </w:rPr>
  </w:style>
  <w:style w:type="paragraph" w:styleId="36">
    <w:name w:val="No Spacing"/>
    <w:basedOn w:val="1"/>
    <w:qFormat/>
    <w:uiPriority w:val="1"/>
    <w:pPr>
      <w:spacing w:beforeLines="50"/>
      <w:ind w:firstLine="0"/>
    </w:pPr>
  </w:style>
  <w:style w:type="paragraph" w:styleId="37">
    <w:name w:val="Quote"/>
    <w:basedOn w:val="1"/>
    <w:next w:val="1"/>
    <w:link w:val="38"/>
    <w:qFormat/>
    <w:uiPriority w:val="29"/>
    <w:pPr>
      <w:pBdr>
        <w:left w:val="thinThickMediumGap" w:color="auto" w:sz="8" w:space="4"/>
      </w:pBdr>
      <w:shd w:val="clear" w:color="auto" w:fill="D8D8D8" w:themeFill="background1" w:themeFillShade="D9"/>
    </w:pPr>
    <w:rPr>
      <w:rFonts w:ascii="微软雅黑 Light" w:hAnsi="IBM Plex Sans Light" w:eastAsia="微软雅黑 Light" w:cstheme="majorBidi"/>
      <w:iCs/>
    </w:rPr>
  </w:style>
  <w:style w:type="character" w:customStyle="1" w:styleId="38">
    <w:name w:val="Quote Char"/>
    <w:basedOn w:val="21"/>
    <w:link w:val="37"/>
    <w:qFormat/>
    <w:uiPriority w:val="29"/>
    <w:rPr>
      <w:rFonts w:ascii="微软雅黑 Light" w:hAnsi="IBM Plex Sans Light" w:eastAsia="微软雅黑 Light" w:cstheme="majorBidi"/>
      <w:iCs/>
      <w:snapToGrid w:val="0"/>
      <w:spacing w:val="6"/>
      <w:sz w:val="24"/>
      <w:szCs w:val="24"/>
      <w:shd w:val="clear" w:color="auto" w:fill="D8D8D8" w:themeFill="background1" w:themeFillShade="D9"/>
    </w:rPr>
  </w:style>
  <w:style w:type="paragraph" w:styleId="39">
    <w:name w:val="Intense Quote"/>
    <w:basedOn w:val="37"/>
    <w:next w:val="1"/>
    <w:link w:val="40"/>
    <w:qFormat/>
    <w:uiPriority w:val="30"/>
    <w:pPr>
      <w:spacing w:before="100" w:beforeAutospacing="1" w:after="240"/>
      <w:ind w:left="340" w:right="340"/>
      <w:jc w:val="center"/>
    </w:pPr>
    <w:rPr>
      <w:rFonts w:asciiTheme="majorHAnsi" w:hAnsiTheme="majorHAnsi" w:eastAsiaTheme="majorEastAsia"/>
      <w:sz w:val="26"/>
      <w:szCs w:val="26"/>
    </w:rPr>
  </w:style>
  <w:style w:type="character" w:customStyle="1" w:styleId="40">
    <w:name w:val="Intense Quote Char"/>
    <w:basedOn w:val="21"/>
    <w:link w:val="39"/>
    <w:qFormat/>
    <w:uiPriority w:val="30"/>
    <w:rPr>
      <w:rFonts w:asciiTheme="majorHAnsi" w:hAnsiTheme="majorHAnsi" w:eastAsiaTheme="majorEastAsia" w:cstheme="majorBidi"/>
      <w:iCs/>
      <w:snapToGrid w:val="0"/>
      <w:spacing w:val="17"/>
      <w:sz w:val="26"/>
      <w:szCs w:val="26"/>
      <w:shd w:val="clear" w:color="auto" w:fill="D8D8D8" w:themeFill="background1" w:themeFillShade="D9"/>
    </w:rPr>
  </w:style>
  <w:style w:type="character" w:customStyle="1" w:styleId="41">
    <w:name w:val="不明显强调1"/>
    <w:basedOn w:val="21"/>
    <w:qFormat/>
    <w:uiPriority w:val="19"/>
    <w:rPr>
      <w:i/>
      <w:iCs/>
      <w:color w:val="404040" w:themeColor="text1" w:themeTint="BF"/>
      <w14:textFill>
        <w14:solidFill>
          <w14:schemeClr w14:val="tx1">
            <w14:lumMod w14:val="75000"/>
            <w14:lumOff w14:val="25000"/>
          </w14:schemeClr>
        </w14:solidFill>
      </w14:textFill>
    </w:rPr>
  </w:style>
  <w:style w:type="character" w:customStyle="1" w:styleId="42">
    <w:name w:val="明显强调1"/>
    <w:basedOn w:val="21"/>
    <w:qFormat/>
    <w:uiPriority w:val="21"/>
    <w:rPr>
      <w:b/>
      <w:bCs/>
      <w:i/>
      <w:iCs/>
      <w:color w:val="auto"/>
    </w:rPr>
  </w:style>
  <w:style w:type="character" w:customStyle="1" w:styleId="43">
    <w:name w:val="不明显参考1"/>
    <w:basedOn w:val="21"/>
    <w:qFormat/>
    <w:uiPriority w:val="31"/>
    <w:rPr>
      <w:smallCaps/>
      <w:color w:val="auto"/>
      <w:u w:val="single" w:color="7E7E7E" w:themeColor="text1" w:themeTint="80"/>
    </w:rPr>
  </w:style>
  <w:style w:type="character" w:customStyle="1" w:styleId="44">
    <w:name w:val="明显参考1"/>
    <w:basedOn w:val="21"/>
    <w:qFormat/>
    <w:uiPriority w:val="32"/>
    <w:rPr>
      <w:b/>
      <w:bCs/>
      <w:smallCaps/>
      <w:color w:val="auto"/>
      <w:u w:val="single"/>
    </w:rPr>
  </w:style>
  <w:style w:type="character" w:customStyle="1" w:styleId="45">
    <w:name w:val="书籍标题1"/>
    <w:basedOn w:val="35"/>
    <w:qFormat/>
    <w:uiPriority w:val="33"/>
    <w:rPr>
      <w:rFonts w:ascii="思源宋体 CN SemiBold" w:hAnsi="思源宋体 CN SemiBold" w:eastAsia="思源宋体 CN SemiBold" w:cstheme="majorBidi"/>
      <w:smallCaps/>
      <w:snapToGrid w:val="0"/>
      <w:color w:val="auto"/>
      <w:spacing w:val="-24"/>
      <w:sz w:val="44"/>
      <w:szCs w:val="24"/>
    </w:rPr>
  </w:style>
  <w:style w:type="paragraph" w:customStyle="1" w:styleId="46">
    <w:name w:val="TOC 标题1"/>
    <w:basedOn w:val="2"/>
    <w:next w:val="1"/>
    <w:semiHidden/>
    <w:unhideWhenUsed/>
    <w:qFormat/>
    <w:uiPriority w:val="39"/>
    <w:pPr>
      <w:outlineLvl w:val="9"/>
    </w:pPr>
  </w:style>
  <w:style w:type="character" w:customStyle="1" w:styleId="47">
    <w:name w:val="Header Char"/>
    <w:basedOn w:val="21"/>
    <w:link w:val="16"/>
    <w:qFormat/>
    <w:uiPriority w:val="99"/>
    <w:rPr>
      <w:rFonts w:hAnsi="思源宋体 CN Medium" w:asciiTheme="minorEastAsia"/>
      <w:snapToGrid w:val="0"/>
      <w:spacing w:val="6"/>
      <w:sz w:val="21"/>
      <w:szCs w:val="18"/>
    </w:rPr>
  </w:style>
  <w:style w:type="character" w:customStyle="1" w:styleId="48">
    <w:name w:val="Footer Char"/>
    <w:basedOn w:val="21"/>
    <w:link w:val="15"/>
    <w:qFormat/>
    <w:uiPriority w:val="99"/>
    <w:rPr>
      <w:snapToGrid w:val="0"/>
      <w:spacing w:val="6"/>
      <w:sz w:val="21"/>
      <w:szCs w:val="18"/>
    </w:rPr>
  </w:style>
  <w:style w:type="paragraph" w:customStyle="1" w:styleId="49">
    <w:name w:val="无衬线正文"/>
    <w:basedOn w:val="1"/>
    <w:link w:val="51"/>
    <w:qFormat/>
    <w:uiPriority w:val="0"/>
    <w:rPr>
      <w:rFonts w:ascii="微软雅黑 Light" w:hAnsi="HarmonyOS Sans SC Light" w:eastAsia="微软雅黑 Light"/>
      <w:szCs w:val="20"/>
    </w:rPr>
  </w:style>
  <w:style w:type="table" w:customStyle="1" w:styleId="50">
    <w:name w:val="无格式表格 21"/>
    <w:basedOn w:val="1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character" w:customStyle="1" w:styleId="51">
    <w:name w:val="无衬线正文 字符"/>
    <w:basedOn w:val="21"/>
    <w:link w:val="49"/>
    <w:qFormat/>
    <w:uiPriority w:val="0"/>
    <w:rPr>
      <w:rFonts w:ascii="微软雅黑 Light" w:hAnsi="HarmonyOS Sans SC Light" w:eastAsia="微软雅黑 Light"/>
      <w:snapToGrid w:val="0"/>
      <w:spacing w:val="6"/>
      <w:sz w:val="24"/>
    </w:rPr>
  </w:style>
  <w:style w:type="paragraph" w:styleId="52">
    <w:name w:val="List Paragraph"/>
    <w:basedOn w:val="1"/>
    <w:qFormat/>
    <w:uiPriority w:val="34"/>
    <w:pPr>
      <w:ind w:firstLine="420"/>
    </w:pPr>
  </w:style>
  <w:style w:type="character" w:customStyle="1" w:styleId="53">
    <w:name w:val="Subtle Emphasis"/>
    <w:basedOn w:val="21"/>
    <w:qFormat/>
    <w:uiPriority w:val="19"/>
    <w:rPr>
      <w:i/>
      <w:iCs/>
      <w:color w:val="808080" w:themeColor="text1" w:themeTint="80"/>
      <w14:textFill>
        <w14:solidFill>
          <w14:schemeClr w14:val="tx1">
            <w14:lumMod w14:val="50000"/>
            <w14:lumOff w14:val="50000"/>
          </w14:schemeClr>
        </w14:solidFill>
      </w14:textFill>
    </w:rPr>
  </w:style>
  <w:style w:type="character" w:customStyle="1" w:styleId="54">
    <w:name w:val="Intense Emphasis"/>
    <w:basedOn w:val="21"/>
    <w:qFormat/>
    <w:uiPriority w:val="21"/>
    <w:rPr>
      <w:b/>
      <w:bCs/>
      <w:i/>
      <w:iCs/>
      <w:color w:val="5B9BD5" w:themeColor="accent1"/>
      <w14:textFill>
        <w14:solidFill>
          <w14:schemeClr w14:val="accent1"/>
        </w14:solidFill>
      </w14:textFill>
    </w:rPr>
  </w:style>
  <w:style w:type="character" w:customStyle="1" w:styleId="55">
    <w:name w:val="Subtle Reference"/>
    <w:basedOn w:val="21"/>
    <w:qFormat/>
    <w:uiPriority w:val="31"/>
    <w:rPr>
      <w:smallCaps/>
      <w:color w:val="ED7D31" w:themeColor="accent2"/>
      <w:u w:val="single"/>
      <w14:textFill>
        <w14:solidFill>
          <w14:schemeClr w14:val="accent2"/>
        </w14:solidFill>
      </w14:textFill>
    </w:rPr>
  </w:style>
  <w:style w:type="character" w:customStyle="1" w:styleId="56">
    <w:name w:val="Intense Reference"/>
    <w:basedOn w:val="21"/>
    <w:qFormat/>
    <w:uiPriority w:val="32"/>
    <w:rPr>
      <w:b/>
      <w:bCs/>
      <w:smallCaps/>
      <w:color w:val="ED7D31" w:themeColor="accent2"/>
      <w:spacing w:val="5"/>
      <w:u w:val="single"/>
      <w14:textFill>
        <w14:solidFill>
          <w14:schemeClr w14:val="accent2"/>
        </w14:solidFill>
      </w14:textFill>
    </w:rPr>
  </w:style>
  <w:style w:type="character" w:customStyle="1" w:styleId="57">
    <w:name w:val="Book Title"/>
    <w:basedOn w:val="34"/>
    <w:qFormat/>
    <w:uiPriority w:val="33"/>
    <w:rPr>
      <w:rFonts w:ascii="思源宋体 CN Heavy" w:hAnsi="思源宋体 CN SemiBold" w:eastAsia="思源宋体 CN Heavy" w:cstheme="majorBidi"/>
      <w:bCs w:val="0"/>
      <w:smallCaps/>
      <w:snapToGrid w:val="0"/>
      <w:spacing w:val="24"/>
      <w:sz w:val="52"/>
      <w:szCs w:val="48"/>
    </w:rPr>
  </w:style>
  <w:style w:type="paragraph" w:customStyle="1" w:styleId="58">
    <w:name w:val="稿纸"/>
    <w:basedOn w:val="1"/>
    <w:link w:val="59"/>
    <w:qFormat/>
    <w:uiPriority w:val="0"/>
    <w:pPr>
      <w:spacing w:line="240" w:lineRule="auto"/>
      <w:ind w:firstLine="0" w:firstLineChars="0"/>
    </w:pPr>
    <w:rPr>
      <w:spacing w:val="0"/>
    </w:rPr>
  </w:style>
  <w:style w:type="character" w:customStyle="1" w:styleId="59">
    <w:name w:val="稿纸 Char"/>
    <w:basedOn w:val="21"/>
    <w:link w:val="58"/>
    <w:qFormat/>
    <w:uiPriority w:val="0"/>
    <w:rPr>
      <w:rFonts w:ascii="思源宋体 CN Medium" w:hAnsi="思源宋体 CN Medium" w:eastAsia="思源宋体 CN Medium"/>
      <w:snapToGrid w:val="0"/>
      <w:sz w:val="2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USER">
      <a:majorFont>
        <a:latin typeface="方正小标宋_GBK"/>
        <a:ea typeface="方正小标宋_GBK"/>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F00EAB6-13A9-4068-B983-A608F10B5853}">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3523</Words>
  <Characters>3761</Characters>
  <Lines>27</Lines>
  <Paragraphs>7</Paragraphs>
  <TotalTime>1</TotalTime>
  <ScaleCrop>false</ScaleCrop>
  <LinksUpToDate>false</LinksUpToDate>
  <CharactersWithSpaces>3764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2024-09-12T09:52:00Z</dcterms:created>
  <dcterms:modified xsi:type="dcterms:W3CDTF">2024-09-14T00:23:17Z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CD2D0DA0BB1D464CBCB1C36F133A7867_12</vt:lpwstr>
  </property>
</Properties>
</file>