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6322D">
      <w:pPr>
        <w:widowControl/>
        <w:spacing w:before="100" w:beforeAutospacing="1" w:after="100" w:afterAutospacing="1" w:line="600" w:lineRule="auto"/>
        <w:jc w:val="center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48"/>
          <w:szCs w:val="48"/>
          <w:lang w:eastAsia="zh-CN"/>
        </w:rPr>
        <w:t>信宜市妇幼保健院异地搬迁新建项目（一期）</w:t>
      </w:r>
      <w:r>
        <w:rPr>
          <w:rFonts w:hint="eastAsia" w:ascii="宋体" w:hAnsi="宋体"/>
          <w:b/>
          <w:bCs/>
          <w:kern w:val="0"/>
          <w:sz w:val="48"/>
          <w:szCs w:val="48"/>
        </w:rPr>
        <w:t>竣工环境保护验收意见</w:t>
      </w:r>
    </w:p>
    <w:p w14:paraId="1BBFB993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根</w:t>
      </w:r>
      <w:r>
        <w:rPr>
          <w:rFonts w:hint="eastAsia" w:ascii="华文宋体" w:hAnsi="华文宋体" w:eastAsia="华文宋体" w:cs="宋体"/>
          <w:kern w:val="0"/>
          <w:sz w:val="32"/>
          <w:szCs w:val="32"/>
          <w:highlight w:val="none"/>
        </w:rPr>
        <w:t>据《建设项目竣工环境保护验收暂行办法》的规定，</w:t>
      </w:r>
      <w:r>
        <w:rPr>
          <w:rFonts w:ascii="华文宋体" w:hAnsi="华文宋体" w:eastAsia="华文宋体" w:cs="宋体"/>
          <w:kern w:val="0"/>
          <w:sz w:val="32"/>
          <w:szCs w:val="32"/>
          <w:highlight w:val="none"/>
        </w:rPr>
        <w:t>20</w:t>
      </w:r>
      <w:r>
        <w:rPr>
          <w:rFonts w:hint="eastAsia" w:ascii="华文宋体" w:hAnsi="华文宋体" w:eastAsia="华文宋体" w:cs="宋体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ascii="华文宋体" w:hAnsi="华文宋体" w:eastAsia="华文宋体" w:cs="宋体"/>
          <w:kern w:val="0"/>
          <w:sz w:val="32"/>
          <w:szCs w:val="32"/>
          <w:highlight w:val="none"/>
        </w:rPr>
        <w:t>年</w:t>
      </w:r>
      <w:r>
        <w:rPr>
          <w:rFonts w:hint="eastAsia" w:ascii="华文宋体" w:hAnsi="华文宋体" w:eastAsia="华文宋体" w:cs="宋体"/>
          <w:kern w:val="0"/>
          <w:sz w:val="32"/>
          <w:szCs w:val="32"/>
          <w:highlight w:val="none"/>
          <w:lang w:val="en-US" w:eastAsia="zh-CN"/>
        </w:rPr>
        <w:t>09</w:t>
      </w:r>
      <w:r>
        <w:rPr>
          <w:rFonts w:ascii="华文宋体" w:hAnsi="华文宋体" w:eastAsia="华文宋体" w:cs="宋体"/>
          <w:kern w:val="0"/>
          <w:sz w:val="32"/>
          <w:szCs w:val="32"/>
          <w:highlight w:val="none"/>
        </w:rPr>
        <w:t>月</w:t>
      </w:r>
      <w:r>
        <w:rPr>
          <w:rFonts w:hint="eastAsia" w:ascii="华文宋体" w:hAnsi="华文宋体" w:eastAsia="华文宋体" w:cs="宋体"/>
          <w:kern w:val="0"/>
          <w:sz w:val="32"/>
          <w:szCs w:val="32"/>
          <w:highlight w:val="none"/>
          <w:lang w:val="en-US" w:eastAsia="zh-CN"/>
        </w:rPr>
        <w:t>04</w:t>
      </w:r>
      <w:r>
        <w:rPr>
          <w:rFonts w:hint="eastAsia" w:ascii="华文宋体" w:hAnsi="华文宋体" w:eastAsia="华文宋体" w:cs="宋体"/>
          <w:kern w:val="0"/>
          <w:sz w:val="32"/>
          <w:szCs w:val="32"/>
          <w:highlight w:val="none"/>
        </w:rPr>
        <w:t>日，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我院组织召开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信宜市妇幼保健院异地搬迁新建项目（一期）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竣工环境保护验收现场检查会。验收组成员有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（建设单位）、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广东电白建设集团有限公司（设计单位）、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广东省广大工程顾问有限公司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监理</w:t>
      </w:r>
      <w:r>
        <w:rPr>
          <w:rFonts w:ascii="华文宋体" w:hAnsi="华文宋体" w:eastAsia="华文宋体" w:cs="宋体"/>
          <w:kern w:val="0"/>
          <w:sz w:val="32"/>
          <w:szCs w:val="32"/>
        </w:rPr>
        <w:t>单位）、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广东环联检测技术有限公司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（验收</w:t>
      </w:r>
      <w:r>
        <w:rPr>
          <w:rFonts w:ascii="华文宋体" w:hAnsi="华文宋体" w:eastAsia="华文宋体" w:cs="宋体"/>
          <w:kern w:val="0"/>
          <w:sz w:val="32"/>
          <w:szCs w:val="32"/>
        </w:rPr>
        <w:t>监测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单位）等代表，并特邀</w:t>
      </w:r>
      <w:r>
        <w:rPr>
          <w:rFonts w:ascii="华文宋体" w:hAnsi="华文宋体" w:eastAsia="华文宋体" w:cs="宋体"/>
          <w:kern w:val="0"/>
          <w:sz w:val="32"/>
          <w:szCs w:val="32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名专家组成。验收组现场核实了本项目配套的废气、废水、噪声、固废环境保护设施的建设与运行情况，查阅了相关资料，并对照《建设项目竣工环境保护验收暂行办法》，严格依照国家有关法律法规、建设项目竣工环境保护验收技术规范及指南、本项目环境影响报告书和批复等，经认真讨论后形成了现场验收意见。验收意见如下：</w:t>
      </w:r>
      <w:r>
        <w:rPr>
          <w:rFonts w:ascii="华文宋体" w:hAnsi="华文宋体" w:eastAsia="华文宋体" w:cs="宋体"/>
          <w:kern w:val="0"/>
          <w:sz w:val="32"/>
          <w:szCs w:val="32"/>
        </w:rPr>
        <w:t xml:space="preserve">   </w:t>
      </w:r>
    </w:p>
    <w:p w14:paraId="253EEBFC">
      <w:pPr>
        <w:pStyle w:val="25"/>
        <w:numPr>
          <w:ilvl w:val="0"/>
          <w:numId w:val="1"/>
        </w:numPr>
        <w:spacing w:line="720" w:lineRule="exact"/>
        <w:ind w:firstLineChars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工程建设的基本情况</w:t>
      </w:r>
    </w:p>
    <w:p w14:paraId="79EFE322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（一）建设地点、规模、主要建设内容</w:t>
      </w:r>
    </w:p>
    <w:p w14:paraId="02E97F39">
      <w:pPr>
        <w:spacing w:line="720" w:lineRule="exact"/>
        <w:ind w:firstLine="800" w:firstLineChars="250"/>
        <w:rPr>
          <w:rFonts w:ascii="华文宋体" w:hAnsi="华文宋体" w:eastAsia="华文宋体" w:cs="微软雅黑"/>
          <w:kern w:val="0"/>
          <w:sz w:val="32"/>
          <w:szCs w:val="32"/>
        </w:rPr>
      </w:pPr>
      <w:r>
        <w:rPr>
          <w:rFonts w:hint="eastAsia" w:ascii="华文宋体" w:hAnsi="华文宋体" w:eastAsia="华文宋体" w:cs="微软雅黑"/>
          <w:kern w:val="0"/>
          <w:sz w:val="32"/>
          <w:szCs w:val="32"/>
          <w:lang w:eastAsia="zh-CN"/>
        </w:rPr>
        <w:t>信宜市妇幼保健院异地搬迁新建项目（一期）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位于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eastAsia="zh-CN"/>
        </w:rPr>
        <w:t>茂名市信宜市吉祥路200号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（项目中心坐标为：经度110.9159677°，纬度22.3457488°）。项目总用地面积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47066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m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vertAlign w:val="superscript"/>
        </w:rPr>
        <w:t>2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，总建筑面积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108150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m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vertAlign w:val="superscript"/>
        </w:rPr>
        <w:t>2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，项目配置病床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600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张，日门诊接待量达到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600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人次。项目</w:t>
      </w:r>
      <w:r>
        <w:rPr>
          <w:rFonts w:ascii="华文宋体" w:hAnsi="华文宋体" w:eastAsia="华文宋体" w:cs="微软雅黑"/>
          <w:kern w:val="0"/>
          <w:sz w:val="32"/>
          <w:szCs w:val="32"/>
        </w:rPr>
        <w:t>设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门诊楼、医技楼、住院楼、行政后勤、综合楼，配套有停车场、药库、后勤仓库、污水处理站等。项目</w:t>
      </w:r>
      <w:r>
        <w:rPr>
          <w:rFonts w:ascii="华文宋体" w:hAnsi="华文宋体" w:eastAsia="华文宋体" w:cs="微软雅黑"/>
          <w:kern w:val="0"/>
          <w:sz w:val="32"/>
          <w:szCs w:val="32"/>
        </w:rPr>
        <w:t>配套建设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废水</w:t>
      </w:r>
      <w:r>
        <w:rPr>
          <w:rFonts w:ascii="华文宋体" w:hAnsi="华文宋体" w:eastAsia="华文宋体" w:cs="微软雅黑"/>
          <w:kern w:val="0"/>
          <w:sz w:val="32"/>
          <w:szCs w:val="32"/>
        </w:rPr>
        <w:t>、废气、固废治理等环保</w:t>
      </w:r>
      <w:r>
        <w:rPr>
          <w:rFonts w:hint="eastAsia" w:ascii="华文宋体" w:hAnsi="华文宋体" w:eastAsia="华文宋体" w:cs="微软雅黑"/>
          <w:kern w:val="0"/>
          <w:sz w:val="32"/>
          <w:szCs w:val="32"/>
        </w:rPr>
        <w:t>设施</w:t>
      </w:r>
      <w:r>
        <w:rPr>
          <w:rFonts w:ascii="华文宋体" w:hAnsi="华文宋体" w:eastAsia="华文宋体" w:cs="微软雅黑"/>
          <w:kern w:val="0"/>
          <w:sz w:val="32"/>
          <w:szCs w:val="32"/>
        </w:rPr>
        <w:t>设备。</w:t>
      </w:r>
    </w:p>
    <w:p w14:paraId="52C26886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（二）建设过程及环保审批情况</w:t>
      </w:r>
    </w:p>
    <w:p w14:paraId="0730CD14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委托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湖南绿鸿环境科技有限责任公司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于20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18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ascii="华文宋体" w:hAnsi="华文宋体" w:eastAsia="华文宋体" w:cs="宋体"/>
          <w:kern w:val="0"/>
          <w:sz w:val="32"/>
          <w:szCs w:val="32"/>
        </w:rPr>
        <w:t>12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月完成</w:t>
      </w:r>
      <w:r>
        <w:rPr>
          <w:rFonts w:ascii="华文宋体" w:hAnsi="华文宋体" w:eastAsia="华文宋体" w:cs="宋体"/>
          <w:kern w:val="0"/>
          <w:sz w:val="32"/>
          <w:szCs w:val="32"/>
        </w:rPr>
        <w:t>《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信宜市妇幼保健院异地搬迁新建项目（一期）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环境影响报告书</w:t>
      </w:r>
      <w:r>
        <w:rPr>
          <w:rFonts w:ascii="华文宋体" w:hAnsi="华文宋体" w:eastAsia="华文宋体" w:cs="宋体"/>
          <w:kern w:val="0"/>
          <w:sz w:val="32"/>
          <w:szCs w:val="32"/>
        </w:rPr>
        <w:t>》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编制并送审，于20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01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月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日通过了茂名市生态环境局信宜分局的审批，批复文号为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信环建[2019]4号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。项目于</w:t>
      </w:r>
      <w:r>
        <w:rPr>
          <w:rFonts w:ascii="华文宋体" w:hAnsi="华文宋体" w:eastAsia="华文宋体" w:cs="宋体"/>
          <w:kern w:val="0"/>
          <w:sz w:val="32"/>
          <w:szCs w:val="32"/>
        </w:rPr>
        <w:t>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19</w:t>
      </w:r>
      <w:r>
        <w:rPr>
          <w:rFonts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01</w:t>
      </w:r>
      <w:r>
        <w:rPr>
          <w:rFonts w:ascii="华文宋体" w:hAnsi="华文宋体" w:eastAsia="华文宋体" w:cs="宋体"/>
          <w:kern w:val="0"/>
          <w:sz w:val="32"/>
          <w:szCs w:val="32"/>
        </w:rPr>
        <w:t>月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开工，</w:t>
      </w:r>
      <w:r>
        <w:rPr>
          <w:rFonts w:ascii="华文宋体" w:hAnsi="华文宋体" w:eastAsia="华文宋体" w:cs="宋体"/>
          <w:kern w:val="0"/>
          <w:sz w:val="32"/>
          <w:szCs w:val="32"/>
        </w:rPr>
        <w:t>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24</w:t>
      </w:r>
      <w:r>
        <w:rPr>
          <w:rFonts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4</w:t>
      </w:r>
      <w:r>
        <w:rPr>
          <w:rFonts w:ascii="华文宋体" w:hAnsi="华文宋体" w:eastAsia="华文宋体" w:cs="宋体"/>
          <w:kern w:val="0"/>
          <w:sz w:val="32"/>
          <w:szCs w:val="32"/>
        </w:rPr>
        <w:t>月建设完成并开始调试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，项目从立项至调试过程中，无环境投诉记录等。</w:t>
      </w:r>
    </w:p>
    <w:p w14:paraId="76382E10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ascii="华文宋体" w:hAnsi="华文宋体" w:eastAsia="华文宋体" w:cs="宋体"/>
          <w:kern w:val="0"/>
          <w:sz w:val="32"/>
          <w:szCs w:val="32"/>
        </w:rPr>
        <w:t>7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月，委托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广东环联检测技术有限公司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开展验收监测工作。</w:t>
      </w:r>
    </w:p>
    <w:p w14:paraId="644C05AF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（三）投资情况</w:t>
      </w:r>
    </w:p>
    <w:p w14:paraId="5382FDBD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项目工程实际总投资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41985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万元，环保投资</w:t>
      </w:r>
      <w:r>
        <w:rPr>
          <w:rFonts w:hint="eastAsia" w:ascii="华文宋体" w:hAnsi="华文宋体" w:eastAsia="华文宋体" w:cs="微软雅黑"/>
          <w:kern w:val="0"/>
          <w:sz w:val="32"/>
          <w:szCs w:val="32"/>
          <w:lang w:val="en-US" w:eastAsia="zh-CN"/>
        </w:rPr>
        <w:t>91.57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万元，占总投资的</w:t>
      </w:r>
      <w:r>
        <w:rPr>
          <w:rFonts w:ascii="华文宋体" w:hAnsi="华文宋体" w:eastAsia="华文宋体" w:cs="宋体"/>
          <w:kern w:val="0"/>
          <w:sz w:val="32"/>
          <w:szCs w:val="32"/>
        </w:rPr>
        <w:t>0.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21</w:t>
      </w:r>
      <w:r>
        <w:rPr>
          <w:rFonts w:ascii="华文宋体" w:hAnsi="华文宋体" w:eastAsia="华文宋体" w:cs="宋体"/>
          <w:kern w:val="0"/>
          <w:sz w:val="32"/>
          <w:szCs w:val="32"/>
        </w:rPr>
        <w:t>%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</w:p>
    <w:p w14:paraId="634D1C77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（四）验收范围</w:t>
      </w:r>
    </w:p>
    <w:p w14:paraId="2049F526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本次验收范围为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信宜市妇幼保健院异地搬迁新建项目（一期）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的废气、废水、噪声、固废治理设施。涉及辐射的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及食堂油烟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治理设施不包括在本次验收范围内。</w:t>
      </w:r>
    </w:p>
    <w:p w14:paraId="504E6634">
      <w:pPr>
        <w:pStyle w:val="25"/>
        <w:numPr>
          <w:ilvl w:val="0"/>
          <w:numId w:val="1"/>
        </w:numPr>
        <w:spacing w:line="720" w:lineRule="exact"/>
        <w:ind w:firstLineChars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项目变更有关情况</w:t>
      </w:r>
    </w:p>
    <w:p w14:paraId="6AB3C9F5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废水处理系统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消毒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工艺优化，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消毒工艺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由“紫外线消毒”改进为“二氧化氯+紫外线”工艺，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属于污染防治措施强化或改进情形。废气处理系统工艺优化，“等离子+紫外线光解”改进为“紫外线光解+活性炭吸附”，属于污染防治措施强化或改进情形。本建设项目的性质、规模、地点、采用的生产工艺均与环境影响报告书及审批内容基本一致。</w:t>
      </w:r>
    </w:p>
    <w:p w14:paraId="0E579985">
      <w:pPr>
        <w:pStyle w:val="25"/>
        <w:widowControl/>
        <w:numPr>
          <w:ilvl w:val="0"/>
          <w:numId w:val="1"/>
        </w:numPr>
        <w:spacing w:line="720" w:lineRule="exact"/>
        <w:ind w:left="0" w:firstLine="851" w:firstLineChars="0"/>
        <w:jc w:val="left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废气、废水、噪声、固废环境保护措施及环境风险防范措施落实情况</w:t>
      </w:r>
    </w:p>
    <w:p w14:paraId="51A92ACE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（一）废气排放情况及治理措施</w:t>
      </w:r>
    </w:p>
    <w:p w14:paraId="61DBF01C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排放情况：</w:t>
      </w:r>
      <w:r>
        <w:rPr>
          <w:rFonts w:ascii="华文宋体" w:hAnsi="华文宋体" w:eastAsia="华文宋体" w:cs="宋体"/>
          <w:kern w:val="0"/>
          <w:sz w:val="32"/>
          <w:szCs w:val="32"/>
        </w:rPr>
        <w:t>本项目运营期的废气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来自备用柴油发电机尾气、污水处理站恶臭、机动车尾气。</w:t>
      </w:r>
    </w:p>
    <w:p w14:paraId="4D9742C1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废气治理：（1）备用柴油发电机采用轻柴油为燃料，尾气经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水喷淋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处理设备处理后排放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。（2）项目污水处理站对各处理设施加盖密封，各处理设施上层空间内产生的废气集中设置专用排气管收集，通过排气管道引至“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紫外光解+活性炭吸附装置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”处理后排放。（3）地下车库机动车尾气通过机械通风系统，将车库废气收集后，集中通过竖井排出室外。</w:t>
      </w:r>
    </w:p>
    <w:p w14:paraId="3EE8C51F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（二）废水排放情况及治理措施</w:t>
      </w:r>
    </w:p>
    <w:p w14:paraId="02DF1C65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排放情况：本项目运营期废水主要为生活污水和医疗废水等。</w:t>
      </w:r>
    </w:p>
    <w:p w14:paraId="4450F1E8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治理措施：本项目运营期生活污水经三级化粪池处理，然后汇合医疗废水进入自建污水处理站经处理达标后（</w:t>
      </w:r>
      <w:r>
        <w:rPr>
          <w:rFonts w:ascii="华文宋体" w:hAnsi="华文宋体" w:eastAsia="华文宋体" w:cs="宋体"/>
          <w:kern w:val="0"/>
          <w:sz w:val="32"/>
          <w:szCs w:val="32"/>
        </w:rPr>
        <w:t>医院自建污水处理站采用“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格栅+调节池+水解酸化+接触氧化+沉淀+消毒</w:t>
      </w:r>
      <w:r>
        <w:rPr>
          <w:rFonts w:ascii="华文宋体" w:hAnsi="华文宋体" w:eastAsia="华文宋体" w:cs="宋体"/>
          <w:kern w:val="0"/>
          <w:sz w:val="32"/>
          <w:szCs w:val="32"/>
        </w:rPr>
        <w:t>”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工艺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），排入市政管网汇入信宜市污水处理厂处理</w:t>
      </w:r>
      <w:r>
        <w:rPr>
          <w:rFonts w:ascii="华文宋体" w:hAnsi="华文宋体" w:eastAsia="华文宋体" w:cs="宋体"/>
          <w:kern w:val="0"/>
          <w:sz w:val="32"/>
          <w:szCs w:val="32"/>
        </w:rPr>
        <w:t>达标后进入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鉴江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</w:p>
    <w:p w14:paraId="705D395B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（三）噪声排放情况及治理措施</w:t>
      </w:r>
    </w:p>
    <w:p w14:paraId="436E545D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排放情况：本项目运营期噪声主要为通风机房、发电房、水泵等设备。</w:t>
      </w:r>
    </w:p>
    <w:p w14:paraId="7AA75ACF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治理措施：本项目通过</w:t>
      </w:r>
      <w:r>
        <w:rPr>
          <w:rFonts w:ascii="华文宋体" w:hAnsi="华文宋体" w:eastAsia="华文宋体" w:cs="宋体"/>
          <w:kern w:val="0"/>
          <w:sz w:val="32"/>
          <w:szCs w:val="32"/>
        </w:rPr>
        <w:t>选择高效率、低噪音设备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，对</w:t>
      </w:r>
      <w:r>
        <w:rPr>
          <w:rFonts w:ascii="华文宋体" w:hAnsi="华文宋体" w:eastAsia="华文宋体" w:cs="宋体"/>
          <w:kern w:val="0"/>
          <w:sz w:val="32"/>
          <w:szCs w:val="32"/>
        </w:rPr>
        <w:t>水泵、风机等均作减震处理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，</w:t>
      </w:r>
      <w:r>
        <w:rPr>
          <w:rFonts w:ascii="华文宋体" w:hAnsi="华文宋体" w:eastAsia="华文宋体" w:cs="宋体"/>
          <w:kern w:val="0"/>
          <w:sz w:val="32"/>
          <w:szCs w:val="32"/>
        </w:rPr>
        <w:t>备用发电机房、风机房、水泵房内墙做吸声处理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，</w:t>
      </w:r>
      <w:r>
        <w:rPr>
          <w:rFonts w:ascii="华文宋体" w:hAnsi="华文宋体" w:eastAsia="华文宋体" w:cs="宋体"/>
          <w:kern w:val="0"/>
          <w:sz w:val="32"/>
          <w:szCs w:val="32"/>
        </w:rPr>
        <w:t>水泵、空调器等连接的水管设橡胶软接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  <w:r>
        <w:rPr>
          <w:rFonts w:ascii="华文宋体" w:hAnsi="华文宋体" w:eastAsia="华文宋体" w:cs="宋体"/>
          <w:kern w:val="0"/>
          <w:sz w:val="32"/>
          <w:szCs w:val="32"/>
        </w:rPr>
        <w:t>通过采取上述措施后各噪声源对声环境影响不大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</w:p>
    <w:p w14:paraId="0153AE0A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（四）固废排放情况及治理措施</w:t>
      </w:r>
    </w:p>
    <w:p w14:paraId="02486C69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排放情况：</w:t>
      </w:r>
      <w:r>
        <w:rPr>
          <w:rFonts w:ascii="华文宋体" w:hAnsi="华文宋体" w:eastAsia="华文宋体" w:cs="宋体"/>
          <w:kern w:val="0"/>
          <w:sz w:val="32"/>
          <w:szCs w:val="32"/>
        </w:rPr>
        <w:t>本项目产生的固（液）体废物包括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生活垃圾、使用后未污染的输液瓶(袋)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废包装材料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医疗废物、污水处理污泥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废紫外线灯管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检验废液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废活性炭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</w:p>
    <w:p w14:paraId="2F73A328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治理措施：本项目医疗废物统一收集暂存医疗废物暂存间，定期交由有资质的单位合法处置；使用后未污染的输液瓶(袋)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废包装材料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交由交由资源回收单位回收处理；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废紫外线灯管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default" w:ascii="华文宋体" w:hAnsi="华文宋体" w:eastAsia="华文宋体" w:cs="宋体"/>
          <w:kern w:val="0"/>
          <w:sz w:val="32"/>
          <w:szCs w:val="32"/>
        </w:rPr>
        <w:t>检验废液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、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废活性炭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定期交由有资质的单位合法处置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；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生活垃圾集中收集后每天由环卫部门统一处理；项目污泥经消毒后排入污泥池进行贮存，定期委托有资质的单位处置。</w:t>
      </w:r>
    </w:p>
    <w:p w14:paraId="0246FE8D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（五）环境风险防范措施落实情况</w:t>
      </w:r>
    </w:p>
    <w:p w14:paraId="78A01736">
      <w:pPr>
        <w:spacing w:line="720" w:lineRule="exact"/>
        <w:ind w:firstLine="800" w:firstLineChars="25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已按《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突发环境事件应急预案》要求落实。</w:t>
      </w:r>
    </w:p>
    <w:p w14:paraId="30A76CB7">
      <w:pPr>
        <w:pStyle w:val="25"/>
        <w:widowControl/>
        <w:numPr>
          <w:ilvl w:val="0"/>
          <w:numId w:val="1"/>
        </w:numPr>
        <w:spacing w:line="720" w:lineRule="exact"/>
        <w:ind w:left="0" w:firstLine="851" w:firstLineChars="0"/>
        <w:jc w:val="left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环境保护设施运行效果和工程建设对环境的影响</w:t>
      </w:r>
    </w:p>
    <w:p w14:paraId="2202859E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（一）污染物达标排放情况</w:t>
      </w:r>
    </w:p>
    <w:p w14:paraId="55CCCFC5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1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、废气</w:t>
      </w:r>
    </w:p>
    <w:p w14:paraId="3694DC6D">
      <w:pPr>
        <w:spacing w:line="720" w:lineRule="exact"/>
        <w:ind w:firstLine="640" w:firstLineChars="200"/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监测结果表明，本项目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污水处理站有组织废气污染物氨监测值为0.056~0.072</w:t>
      </w:r>
      <w:r>
        <w:rPr>
          <w:rFonts w:ascii="华文宋体" w:hAnsi="华文宋体" w:eastAsia="华文宋体" w:cs="宋体"/>
          <w:kern w:val="0"/>
          <w:sz w:val="32"/>
          <w:szCs w:val="32"/>
        </w:rPr>
        <w:t>mg/m</w:t>
      </w:r>
      <w:r>
        <w:rPr>
          <w:rFonts w:ascii="华文宋体" w:hAnsi="华文宋体" w:eastAsia="华文宋体" w:cs="宋体"/>
          <w:kern w:val="0"/>
          <w:sz w:val="32"/>
          <w:szCs w:val="32"/>
          <w:vertAlign w:val="superscript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；硫化氢</w:t>
      </w:r>
      <w:r>
        <w:rPr>
          <w:rFonts w:ascii="华文宋体" w:hAnsi="华文宋体" w:eastAsia="华文宋体" w:cs="宋体"/>
          <w:kern w:val="0"/>
          <w:sz w:val="32"/>
          <w:szCs w:val="32"/>
        </w:rPr>
        <w:t>监测值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0.038~0.048</w:t>
      </w:r>
      <w:r>
        <w:rPr>
          <w:rFonts w:ascii="华文宋体" w:hAnsi="华文宋体" w:eastAsia="华文宋体" w:cs="宋体"/>
          <w:kern w:val="0"/>
          <w:sz w:val="32"/>
          <w:szCs w:val="32"/>
        </w:rPr>
        <w:t>mg/m</w:t>
      </w:r>
      <w:r>
        <w:rPr>
          <w:rFonts w:ascii="华文宋体" w:hAnsi="华文宋体" w:eastAsia="华文宋体" w:cs="宋体"/>
          <w:kern w:val="0"/>
          <w:sz w:val="32"/>
          <w:szCs w:val="32"/>
          <w:vertAlign w:val="superscript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eastAsia="zh-CN"/>
        </w:rPr>
        <w:t>；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臭气浓度</w:t>
      </w:r>
      <w:r>
        <w:rPr>
          <w:rFonts w:ascii="华文宋体" w:hAnsi="华文宋体" w:eastAsia="华文宋体" w:cs="宋体"/>
          <w:kern w:val="0"/>
          <w:sz w:val="32"/>
          <w:szCs w:val="32"/>
        </w:rPr>
        <w:t>监测值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35~112无量纲。</w:t>
      </w:r>
    </w:p>
    <w:p w14:paraId="2A506C53">
      <w:pPr>
        <w:spacing w:line="720" w:lineRule="exact"/>
        <w:ind w:firstLine="640" w:firstLineChars="200"/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备用柴油发电机有组织排放口（1#）废气污染物颗粒物监测值23~24mg/m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；二氧化硫监测值12~18mg/m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；氮氧化物监测值24~38mg/m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。备用柴油发电机有组织排放口（2#）废气污染物颗粒物监测值21~23mg/m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；二氧化硫监测值12~16mg/m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；氮氧化物监测值27~32mg/m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baseline"/>
          <w:lang w:val="en-US" w:eastAsia="zh-CN"/>
        </w:rPr>
        <w:t>。</w:t>
      </w:r>
    </w:p>
    <w:p w14:paraId="63F73406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污水处理站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无组织废气污染物</w:t>
      </w:r>
      <w:r>
        <w:rPr>
          <w:rFonts w:ascii="华文宋体" w:hAnsi="华文宋体" w:eastAsia="华文宋体" w:cs="宋体"/>
          <w:kern w:val="0"/>
          <w:sz w:val="32"/>
          <w:szCs w:val="32"/>
        </w:rPr>
        <w:t>硫化氢监测值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为0.002~0.005</w:t>
      </w:r>
      <w:r>
        <w:rPr>
          <w:rFonts w:ascii="华文宋体" w:hAnsi="华文宋体" w:eastAsia="华文宋体" w:cs="宋体"/>
          <w:kern w:val="0"/>
          <w:sz w:val="32"/>
          <w:szCs w:val="32"/>
        </w:rPr>
        <w:t>mg/m</w:t>
      </w:r>
      <w:r>
        <w:rPr>
          <w:rFonts w:ascii="华文宋体" w:hAnsi="华文宋体" w:eastAsia="华文宋体" w:cs="宋体"/>
          <w:kern w:val="0"/>
          <w:sz w:val="32"/>
          <w:szCs w:val="32"/>
          <w:vertAlign w:val="superscript"/>
        </w:rPr>
        <w:t>3</w:t>
      </w:r>
      <w:r>
        <w:rPr>
          <w:rFonts w:ascii="华文宋体" w:hAnsi="华文宋体" w:eastAsia="华文宋体" w:cs="宋体"/>
          <w:kern w:val="0"/>
          <w:sz w:val="32"/>
          <w:szCs w:val="32"/>
        </w:rPr>
        <w:t>；氨监测值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0.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401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～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0.905</w:t>
      </w:r>
      <w:r>
        <w:rPr>
          <w:rFonts w:ascii="华文宋体" w:hAnsi="华文宋体" w:eastAsia="华文宋体" w:cs="宋体"/>
          <w:kern w:val="0"/>
          <w:sz w:val="32"/>
          <w:szCs w:val="32"/>
        </w:rPr>
        <w:t>mg/m</w:t>
      </w:r>
      <w:r>
        <w:rPr>
          <w:rFonts w:ascii="华文宋体" w:hAnsi="华文宋体" w:eastAsia="华文宋体" w:cs="宋体"/>
          <w:kern w:val="0"/>
          <w:sz w:val="32"/>
          <w:szCs w:val="32"/>
          <w:vertAlign w:val="superscript"/>
        </w:rPr>
        <w:t>3</w:t>
      </w:r>
      <w:r>
        <w:rPr>
          <w:rFonts w:ascii="华文宋体" w:hAnsi="华文宋体" w:eastAsia="华文宋体" w:cs="宋体"/>
          <w:kern w:val="0"/>
          <w:sz w:val="32"/>
          <w:szCs w:val="32"/>
        </w:rPr>
        <w:t>；臭气浓度监测值小于10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；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甲烷（污水站内最高体积百分数）2.37×10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-4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~2.41×10</w:t>
      </w:r>
      <w:r>
        <w:rPr>
          <w:rFonts w:hint="eastAsia" w:ascii="华文宋体" w:hAnsi="华文宋体" w:eastAsia="华文宋体" w:cs="宋体"/>
          <w:kern w:val="0"/>
          <w:sz w:val="32"/>
          <w:szCs w:val="32"/>
          <w:vertAlign w:val="superscript"/>
          <w:lang w:val="en-US" w:eastAsia="zh-CN"/>
        </w:rPr>
        <w:t>-4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%。</w:t>
      </w:r>
      <w:r>
        <w:rPr>
          <w:rFonts w:ascii="华文宋体" w:hAnsi="华文宋体" w:eastAsia="华文宋体" w:cs="宋体"/>
          <w:kern w:val="0"/>
          <w:sz w:val="32"/>
          <w:szCs w:val="32"/>
        </w:rPr>
        <w:t>监测结果符合《医疗机构水污染物排放标准》（GB18466-2005）表3 污水处理站周边大气污染物最高允许浓度要求。</w:t>
      </w:r>
    </w:p>
    <w:p w14:paraId="2DB4B5E1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2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、废水</w:t>
      </w:r>
    </w:p>
    <w:p w14:paraId="1C0DE4C0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监测结果表明，本项目污水处理站出水口废水污染物中pH范围为7.3~7.4（无量纲）；化学需氧量：29~48mg/L；悬浮物：10~38mg/L；五日生化需氧量：15~20.1mg/L；氨氮：6.25~7.41mg/L；动植物油：0.08~0.10mg/L；总磷：2.07~2.57mg/L；阴离子表面活性剂：0.44mg/L；粪大肠杆菌未检出。监测结果均符合《医疗机构水污染物排放标准》（GB18466-2005）表2综合医疗机构和其他医疗机构水污染物预处理限值要求。</w:t>
      </w:r>
    </w:p>
    <w:p w14:paraId="5C0D6919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3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、噪声</w:t>
      </w:r>
    </w:p>
    <w:p w14:paraId="0985CBA3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监测结果表明，</w:t>
      </w:r>
      <w:r>
        <w:rPr>
          <w:rFonts w:ascii="华文宋体" w:hAnsi="华文宋体" w:eastAsia="华文宋体" w:cs="宋体"/>
          <w:kern w:val="0"/>
          <w:sz w:val="32"/>
          <w:szCs w:val="32"/>
        </w:rPr>
        <w:t>运营期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东面、南面、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西面</w:t>
      </w:r>
      <w:r>
        <w:rPr>
          <w:rFonts w:ascii="华文宋体" w:hAnsi="华文宋体" w:eastAsia="华文宋体" w:cs="宋体"/>
          <w:kern w:val="0"/>
          <w:sz w:val="32"/>
          <w:szCs w:val="32"/>
        </w:rPr>
        <w:t>、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北</w:t>
      </w:r>
      <w:r>
        <w:rPr>
          <w:rFonts w:ascii="华文宋体" w:hAnsi="华文宋体" w:eastAsia="华文宋体" w:cs="宋体"/>
          <w:kern w:val="0"/>
          <w:sz w:val="32"/>
          <w:szCs w:val="32"/>
        </w:rPr>
        <w:t>面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场界噪声昼间为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55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～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56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dB（A），夜间为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43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～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45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dB（A），均满足《工业企业厂界环境噪声排放标准》（GB 12348-2008）中的2类标准</w:t>
      </w:r>
      <w:r>
        <w:rPr>
          <w:rFonts w:ascii="华文宋体" w:hAnsi="华文宋体" w:eastAsia="华文宋体" w:cs="宋体"/>
          <w:kern w:val="0"/>
          <w:sz w:val="32"/>
          <w:szCs w:val="32"/>
        </w:rPr>
        <w:t>限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值要求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；周边敏感点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竹根园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噪声昼间为54～56dB（A），夜间为44～46dB（A），均满足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《声环境质量标准》（GB 3096-2008）2类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限值</w:t>
      </w:r>
      <w:r>
        <w:rPr>
          <w:rFonts w:hint="default" w:ascii="华文宋体" w:hAnsi="华文宋体" w:eastAsia="华文宋体" w:cs="宋体"/>
          <w:kern w:val="0"/>
          <w:sz w:val="32"/>
          <w:szCs w:val="32"/>
          <w:lang w:val="en-US" w:eastAsia="zh-CN"/>
        </w:rPr>
        <w:t>要求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。</w:t>
      </w:r>
    </w:p>
    <w:p w14:paraId="6CE1E0BD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4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、固废</w:t>
      </w:r>
    </w:p>
    <w:p w14:paraId="3077992A">
      <w:pPr>
        <w:spacing w:line="360" w:lineRule="auto"/>
        <w:ind w:left="0" w:leftChars="0"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>本项目固体废物管理已遵照《中华人民共和国固体废物污染环境防治法》和《广东省固体废物污染环境防治条例》的相关规定。一般固废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暂存</w:t>
      </w:r>
      <w:r>
        <w:rPr>
          <w:rFonts w:ascii="华文宋体" w:hAnsi="华文宋体" w:eastAsia="华文宋体" w:cs="宋体"/>
          <w:kern w:val="0"/>
          <w:sz w:val="32"/>
          <w:szCs w:val="32"/>
        </w:rPr>
        <w:t>符合《一般工业固体废物贮存、处置场污染物控制标准》（GB18599-20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20</w:t>
      </w:r>
      <w:r>
        <w:rPr>
          <w:rFonts w:ascii="华文宋体" w:hAnsi="华文宋体" w:eastAsia="华文宋体" w:cs="宋体"/>
          <w:kern w:val="0"/>
          <w:sz w:val="32"/>
          <w:szCs w:val="32"/>
        </w:rPr>
        <w:t>）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要求</w:t>
      </w:r>
      <w:r>
        <w:rPr>
          <w:rFonts w:ascii="华文宋体" w:hAnsi="华文宋体" w:eastAsia="华文宋体" w:cs="宋体"/>
          <w:kern w:val="0"/>
          <w:sz w:val="32"/>
          <w:szCs w:val="32"/>
        </w:rPr>
        <w:t>；医疗废物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暂存</w:t>
      </w:r>
      <w:r>
        <w:rPr>
          <w:rFonts w:ascii="华文宋体" w:hAnsi="华文宋体" w:eastAsia="华文宋体" w:cs="宋体"/>
          <w:kern w:val="0"/>
          <w:sz w:val="32"/>
          <w:szCs w:val="32"/>
        </w:rPr>
        <w:t>符合《危险废物贮存污染控制标准》《GB18597-2001》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</w:t>
      </w:r>
      <w:r>
        <w:rPr>
          <w:rFonts w:ascii="华文宋体" w:hAnsi="华文宋体" w:eastAsia="华文宋体" w:cs="宋体"/>
          <w:kern w:val="0"/>
          <w:sz w:val="32"/>
          <w:szCs w:val="32"/>
        </w:rPr>
        <w:t>2013年修改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版）要求</w:t>
      </w:r>
      <w:r>
        <w:rPr>
          <w:rFonts w:ascii="华文宋体" w:hAnsi="华文宋体" w:eastAsia="华文宋体" w:cs="宋体"/>
          <w:kern w:val="0"/>
          <w:sz w:val="32"/>
          <w:szCs w:val="32"/>
        </w:rPr>
        <w:t>；污水处理站产生的污泥处置管理符合《医疗机构水污染物排放标准》（GBl8466-2005）中的医疗机构污泥控制标准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。</w:t>
      </w:r>
    </w:p>
    <w:p w14:paraId="773BA650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（二）污染物排放总量</w:t>
      </w:r>
    </w:p>
    <w:p w14:paraId="466844E5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根据项目环境影响报告书及批复要求，</w:t>
      </w:r>
      <w:r>
        <w:rPr>
          <w:rFonts w:ascii="华文宋体" w:hAnsi="华文宋体" w:eastAsia="华文宋体" w:cs="宋体"/>
          <w:kern w:val="0"/>
          <w:sz w:val="32"/>
          <w:szCs w:val="32"/>
        </w:rPr>
        <w:t>本项目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不设</w:t>
      </w:r>
      <w:r>
        <w:rPr>
          <w:rFonts w:ascii="华文宋体" w:hAnsi="华文宋体" w:eastAsia="华文宋体" w:cs="宋体"/>
          <w:kern w:val="0"/>
          <w:sz w:val="32"/>
          <w:szCs w:val="32"/>
        </w:rPr>
        <w:t>废气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、</w:t>
      </w:r>
      <w:r>
        <w:rPr>
          <w:rFonts w:ascii="华文宋体" w:hAnsi="华文宋体" w:eastAsia="华文宋体" w:cs="宋体"/>
          <w:kern w:val="0"/>
          <w:sz w:val="32"/>
          <w:szCs w:val="32"/>
        </w:rPr>
        <w:t>废水污染物总量控制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指标</w:t>
      </w:r>
      <w:r>
        <w:rPr>
          <w:rFonts w:ascii="华文宋体" w:hAnsi="华文宋体" w:eastAsia="华文宋体" w:cs="宋体"/>
          <w:kern w:val="0"/>
          <w:sz w:val="32"/>
          <w:szCs w:val="32"/>
        </w:rPr>
        <w:t>。</w:t>
      </w:r>
    </w:p>
    <w:p w14:paraId="2927EC85">
      <w:pPr>
        <w:spacing w:line="720" w:lineRule="exact"/>
        <w:ind w:firstLine="803" w:firstLineChars="250"/>
        <w:outlineLvl w:val="0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（三）存在的主要问题</w:t>
      </w:r>
    </w:p>
    <w:p w14:paraId="7BA9704C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无。</w:t>
      </w:r>
    </w:p>
    <w:p w14:paraId="2E46067A">
      <w:pPr>
        <w:pStyle w:val="25"/>
        <w:widowControl/>
        <w:numPr>
          <w:ilvl w:val="0"/>
          <w:numId w:val="1"/>
        </w:numPr>
        <w:spacing w:line="720" w:lineRule="exact"/>
        <w:ind w:firstLineChars="0"/>
        <w:jc w:val="left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其他需要说明的事项</w:t>
      </w:r>
    </w:p>
    <w:p w14:paraId="4F733B54">
      <w:pPr>
        <w:spacing w:line="720" w:lineRule="exact"/>
        <w:ind w:firstLine="640" w:firstLineChars="200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无。</w:t>
      </w:r>
    </w:p>
    <w:p w14:paraId="12B7EA86">
      <w:pPr>
        <w:pStyle w:val="25"/>
        <w:widowControl/>
        <w:numPr>
          <w:ilvl w:val="0"/>
          <w:numId w:val="1"/>
        </w:numPr>
        <w:spacing w:line="720" w:lineRule="exact"/>
        <w:ind w:firstLineChars="0"/>
        <w:jc w:val="left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验收结论</w:t>
      </w:r>
    </w:p>
    <w:p w14:paraId="34ACC476">
      <w:pPr>
        <w:widowControl/>
        <w:spacing w:line="720" w:lineRule="exact"/>
        <w:ind w:firstLine="640" w:firstLineChars="200"/>
        <w:jc w:val="left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微软雅黑"/>
          <w:kern w:val="0"/>
          <w:sz w:val="32"/>
          <w:szCs w:val="32"/>
          <w:lang w:eastAsia="zh-CN"/>
        </w:rPr>
        <w:t>信宜市妇幼保健院异地搬迁新建项目（一期）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在实施过程中基本按环境影响评价文件及其批复要求，基本配套建设并落实了相应的环境保护措施，验收合格，同意主体工程正式投入运营。</w:t>
      </w:r>
    </w:p>
    <w:p w14:paraId="62F9BC08">
      <w:pPr>
        <w:pStyle w:val="25"/>
        <w:widowControl/>
        <w:numPr>
          <w:ilvl w:val="0"/>
          <w:numId w:val="1"/>
        </w:numPr>
        <w:spacing w:line="720" w:lineRule="exact"/>
        <w:ind w:firstLineChars="0"/>
        <w:jc w:val="left"/>
        <w:rPr>
          <w:rFonts w:ascii="华文宋体" w:hAnsi="华文宋体" w:eastAsia="华文宋体" w:cs="宋体"/>
          <w:b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kern w:val="0"/>
          <w:sz w:val="32"/>
          <w:szCs w:val="32"/>
        </w:rPr>
        <w:t>后续要求</w:t>
      </w:r>
    </w:p>
    <w:p w14:paraId="21AF5E98">
      <w:pPr>
        <w:widowControl/>
        <w:spacing w:line="720" w:lineRule="exact"/>
        <w:ind w:firstLine="640" w:firstLineChars="200"/>
        <w:jc w:val="left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（一）加强环境设施维护与管理，确保污染物长期稳定达标排放。</w:t>
      </w:r>
    </w:p>
    <w:p w14:paraId="5FCC9EF8">
      <w:pPr>
        <w:widowControl/>
        <w:spacing w:line="720" w:lineRule="exact"/>
        <w:ind w:firstLine="640" w:firstLineChars="200"/>
        <w:jc w:val="left"/>
        <w:rPr>
          <w:rFonts w:hint="eastAsia"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（二）按证依法排污，接受环境保护主管部门的监督管理。</w:t>
      </w:r>
    </w:p>
    <w:p w14:paraId="169C9F26">
      <w:pPr>
        <w:widowControl/>
        <w:spacing w:line="720" w:lineRule="exact"/>
        <w:ind w:firstLine="627" w:firstLineChars="196"/>
        <w:jc w:val="left"/>
        <w:rPr>
          <w:rFonts w:ascii="华文宋体" w:hAnsi="华文宋体" w:eastAsia="华文宋体" w:cs="宋体"/>
          <w:b/>
          <w:bCs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</w:rPr>
        <w:t>附：建设项目竣工环境保护验收签名表</w:t>
      </w:r>
    </w:p>
    <w:p w14:paraId="31D7C488">
      <w:pPr>
        <w:widowControl/>
        <w:spacing w:line="720" w:lineRule="exact"/>
        <w:ind w:right="640"/>
        <w:jc w:val="right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hint="eastAsia" w:ascii="华文宋体" w:hAnsi="华文宋体" w:eastAsia="华文宋体" w:cs="宋体"/>
          <w:kern w:val="0"/>
          <w:sz w:val="32"/>
          <w:szCs w:val="32"/>
          <w:lang w:eastAsia="zh-CN"/>
        </w:rPr>
        <w:t>信宜市妇幼保健院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（章）</w:t>
      </w:r>
    </w:p>
    <w:p w14:paraId="3D9B6EF2">
      <w:pPr>
        <w:widowControl/>
        <w:spacing w:line="720" w:lineRule="exact"/>
        <w:ind w:right="640"/>
        <w:jc w:val="center"/>
        <w:rPr>
          <w:rFonts w:ascii="华文宋体" w:hAnsi="华文宋体" w:eastAsia="华文宋体" w:cs="宋体"/>
          <w:kern w:val="0"/>
          <w:sz w:val="32"/>
          <w:szCs w:val="32"/>
        </w:rPr>
      </w:pPr>
      <w:r>
        <w:rPr>
          <w:rFonts w:ascii="华文宋体" w:hAnsi="华文宋体" w:eastAsia="华文宋体" w:cs="宋体"/>
          <w:kern w:val="0"/>
          <w:sz w:val="32"/>
          <w:szCs w:val="32"/>
        </w:rPr>
        <w:t xml:space="preserve">                            20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24</w:t>
      </w:r>
      <w:r>
        <w:rPr>
          <w:rFonts w:ascii="华文宋体" w:hAnsi="华文宋体" w:eastAsia="华文宋体" w:cs="宋体"/>
          <w:kern w:val="0"/>
          <w:sz w:val="32"/>
          <w:szCs w:val="32"/>
        </w:rPr>
        <w:t>年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9</w:t>
      </w:r>
      <w:r>
        <w:rPr>
          <w:rFonts w:ascii="华文宋体" w:hAnsi="华文宋体" w:eastAsia="华文宋体" w:cs="宋体"/>
          <w:kern w:val="0"/>
          <w:sz w:val="32"/>
          <w:szCs w:val="32"/>
        </w:rPr>
        <w:t>月</w:t>
      </w:r>
      <w:r>
        <w:rPr>
          <w:rFonts w:hint="eastAsia" w:ascii="华文宋体" w:hAnsi="华文宋体" w:eastAsia="华文宋体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华文宋体" w:hAnsi="华文宋体" w:eastAsia="华文宋体" w:cs="宋体"/>
          <w:kern w:val="0"/>
          <w:sz w:val="32"/>
          <w:szCs w:val="32"/>
        </w:rPr>
        <w:t>日</w:t>
      </w:r>
    </w:p>
    <w:p w14:paraId="79EBBA6E">
      <w:pPr>
        <w:widowControl/>
        <w:wordWrap w:val="0"/>
        <w:spacing w:before="100" w:beforeAutospacing="1" w:after="100" w:afterAutospacing="1"/>
        <w:jc w:val="left"/>
        <w:rPr>
          <w:rFonts w:ascii="华文宋体" w:hAnsi="华文宋体" w:eastAsia="华文宋体" w:cs="宋体"/>
          <w:kern w:val="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E7C0C6">
      <w:pPr>
        <w:pStyle w:val="3"/>
        <w:autoSpaceDE w:val="0"/>
        <w:spacing w:line="360" w:lineRule="auto"/>
        <w:ind w:left="420" w:leftChars="200" w:firstLine="560"/>
        <w:jc w:val="center"/>
        <w:rPr>
          <w:rFonts w:hint="eastAsia" w:ascii="华文宋体" w:hAnsi="华文宋体" w:eastAsia="华文宋体"/>
          <w:sz w:val="28"/>
          <w:szCs w:val="28"/>
          <w:lang w:eastAsia="zh-CN"/>
        </w:rPr>
      </w:pP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75F30">
    <w:pPr>
      <w:pStyle w:val="8"/>
      <w:jc w:val="center"/>
      <w:rPr>
        <w:sz w:val="24"/>
        <w:szCs w:val="24"/>
      </w:rPr>
    </w:pPr>
    <w:r>
      <w:rPr>
        <w:rFonts w:hint="eastAsia"/>
        <w:sz w:val="24"/>
        <w:szCs w:val="24"/>
      </w:rPr>
      <w:t>第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9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 xml:space="preserve"> </w:t>
    </w:r>
    <w:r>
      <w:rPr>
        <w:rFonts w:hint="eastAsia"/>
        <w:sz w:val="24"/>
        <w:szCs w:val="24"/>
      </w:rPr>
      <w:t>共</w:t>
    </w:r>
    <w:r>
      <w:rPr>
        <w:sz w:val="24"/>
        <w:szCs w:val="24"/>
      </w:rPr>
      <w:t>9</w:t>
    </w:r>
    <w:r>
      <w:rPr>
        <w:rFonts w:hint="eastAsia"/>
        <w:sz w:val="24"/>
        <w:szCs w:val="24"/>
      </w:rPr>
      <w:t>页</w:t>
    </w:r>
  </w:p>
  <w:p w14:paraId="7F2B8A14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E64A27"/>
    <w:multiLevelType w:val="multilevel"/>
    <w:tmpl w:val="0EE64A27"/>
    <w:lvl w:ilvl="0" w:tentative="0">
      <w:start w:val="1"/>
      <w:numFmt w:val="japaneseCounting"/>
      <w:lvlText w:val="%1、"/>
      <w:lvlJc w:val="left"/>
      <w:pPr>
        <w:ind w:left="1430" w:hanging="63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6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0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4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9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3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7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1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5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zMWIwOTljMGRiMTE4ZTMwYzVkZjI2NDkwMTkyMmMifQ=="/>
  </w:docVars>
  <w:rsids>
    <w:rsidRoot w:val="00FB741E"/>
    <w:rsid w:val="000016EE"/>
    <w:rsid w:val="00012D1C"/>
    <w:rsid w:val="00015B34"/>
    <w:rsid w:val="00020883"/>
    <w:rsid w:val="000212B3"/>
    <w:rsid w:val="000331CF"/>
    <w:rsid w:val="000343D4"/>
    <w:rsid w:val="000516ED"/>
    <w:rsid w:val="00075397"/>
    <w:rsid w:val="000755CB"/>
    <w:rsid w:val="00080B0F"/>
    <w:rsid w:val="0008140D"/>
    <w:rsid w:val="00085FC3"/>
    <w:rsid w:val="0009672F"/>
    <w:rsid w:val="000A15B2"/>
    <w:rsid w:val="000B77AC"/>
    <w:rsid w:val="000C7023"/>
    <w:rsid w:val="000E2225"/>
    <w:rsid w:val="000E247D"/>
    <w:rsid w:val="000E37AC"/>
    <w:rsid w:val="000E4216"/>
    <w:rsid w:val="000F09ED"/>
    <w:rsid w:val="000F0B27"/>
    <w:rsid w:val="000F1355"/>
    <w:rsid w:val="000F3325"/>
    <w:rsid w:val="000F7665"/>
    <w:rsid w:val="00103C9F"/>
    <w:rsid w:val="00116E2B"/>
    <w:rsid w:val="0012036A"/>
    <w:rsid w:val="001218B2"/>
    <w:rsid w:val="00121D02"/>
    <w:rsid w:val="00122C24"/>
    <w:rsid w:val="00127148"/>
    <w:rsid w:val="00135558"/>
    <w:rsid w:val="0014031D"/>
    <w:rsid w:val="00140AE0"/>
    <w:rsid w:val="00146CCD"/>
    <w:rsid w:val="00150768"/>
    <w:rsid w:val="001517F6"/>
    <w:rsid w:val="00152FB8"/>
    <w:rsid w:val="00155172"/>
    <w:rsid w:val="00160ABC"/>
    <w:rsid w:val="00162972"/>
    <w:rsid w:val="00163C46"/>
    <w:rsid w:val="00187B3F"/>
    <w:rsid w:val="00193DA0"/>
    <w:rsid w:val="001A15F2"/>
    <w:rsid w:val="001B0120"/>
    <w:rsid w:val="001C0209"/>
    <w:rsid w:val="001D1CB7"/>
    <w:rsid w:val="001D649F"/>
    <w:rsid w:val="001D6E9E"/>
    <w:rsid w:val="001F0282"/>
    <w:rsid w:val="001F44D4"/>
    <w:rsid w:val="001F73B4"/>
    <w:rsid w:val="0020036D"/>
    <w:rsid w:val="0020069C"/>
    <w:rsid w:val="00201950"/>
    <w:rsid w:val="002036DC"/>
    <w:rsid w:val="00207766"/>
    <w:rsid w:val="00210D0F"/>
    <w:rsid w:val="00211497"/>
    <w:rsid w:val="00215906"/>
    <w:rsid w:val="00216B7C"/>
    <w:rsid w:val="00217765"/>
    <w:rsid w:val="00220AE7"/>
    <w:rsid w:val="002259B3"/>
    <w:rsid w:val="00237449"/>
    <w:rsid w:val="00242B47"/>
    <w:rsid w:val="0025430F"/>
    <w:rsid w:val="00256B2A"/>
    <w:rsid w:val="002633E1"/>
    <w:rsid w:val="00270107"/>
    <w:rsid w:val="00271F40"/>
    <w:rsid w:val="00282199"/>
    <w:rsid w:val="00282AB3"/>
    <w:rsid w:val="00284999"/>
    <w:rsid w:val="002851BD"/>
    <w:rsid w:val="002866EF"/>
    <w:rsid w:val="00286FE6"/>
    <w:rsid w:val="002A2CF8"/>
    <w:rsid w:val="002A44D2"/>
    <w:rsid w:val="002A7FF9"/>
    <w:rsid w:val="002B14F3"/>
    <w:rsid w:val="002D278A"/>
    <w:rsid w:val="002D482B"/>
    <w:rsid w:val="002E0844"/>
    <w:rsid w:val="002F1D2E"/>
    <w:rsid w:val="002F7030"/>
    <w:rsid w:val="00307BCC"/>
    <w:rsid w:val="00316FBE"/>
    <w:rsid w:val="00317067"/>
    <w:rsid w:val="00320191"/>
    <w:rsid w:val="003215C5"/>
    <w:rsid w:val="003218EB"/>
    <w:rsid w:val="00325557"/>
    <w:rsid w:val="003312C3"/>
    <w:rsid w:val="00333920"/>
    <w:rsid w:val="00336D56"/>
    <w:rsid w:val="0034124D"/>
    <w:rsid w:val="0034577D"/>
    <w:rsid w:val="0034690C"/>
    <w:rsid w:val="003470D4"/>
    <w:rsid w:val="00366056"/>
    <w:rsid w:val="00366F9B"/>
    <w:rsid w:val="00373309"/>
    <w:rsid w:val="00380D03"/>
    <w:rsid w:val="003975EA"/>
    <w:rsid w:val="0039797F"/>
    <w:rsid w:val="003A784E"/>
    <w:rsid w:val="003B04FE"/>
    <w:rsid w:val="003B58B8"/>
    <w:rsid w:val="003B5A66"/>
    <w:rsid w:val="003C0CBB"/>
    <w:rsid w:val="003C2844"/>
    <w:rsid w:val="003D3E84"/>
    <w:rsid w:val="003E235A"/>
    <w:rsid w:val="003F1EC9"/>
    <w:rsid w:val="00413D1B"/>
    <w:rsid w:val="00415036"/>
    <w:rsid w:val="00435565"/>
    <w:rsid w:val="00436A4A"/>
    <w:rsid w:val="004520A9"/>
    <w:rsid w:val="00452885"/>
    <w:rsid w:val="004541B9"/>
    <w:rsid w:val="00455EF0"/>
    <w:rsid w:val="004564EF"/>
    <w:rsid w:val="00461DF6"/>
    <w:rsid w:val="00464DD3"/>
    <w:rsid w:val="00466EB2"/>
    <w:rsid w:val="004676BD"/>
    <w:rsid w:val="00473544"/>
    <w:rsid w:val="00477BBF"/>
    <w:rsid w:val="004844C5"/>
    <w:rsid w:val="004908D3"/>
    <w:rsid w:val="004A0CBC"/>
    <w:rsid w:val="004B1A7D"/>
    <w:rsid w:val="004D238C"/>
    <w:rsid w:val="004F4755"/>
    <w:rsid w:val="004F5E5C"/>
    <w:rsid w:val="00500007"/>
    <w:rsid w:val="00500C68"/>
    <w:rsid w:val="0050772D"/>
    <w:rsid w:val="0052028D"/>
    <w:rsid w:val="00534551"/>
    <w:rsid w:val="00534B40"/>
    <w:rsid w:val="005404D2"/>
    <w:rsid w:val="00547265"/>
    <w:rsid w:val="005602EF"/>
    <w:rsid w:val="00561227"/>
    <w:rsid w:val="00562A82"/>
    <w:rsid w:val="005671CF"/>
    <w:rsid w:val="00570CEF"/>
    <w:rsid w:val="00572C80"/>
    <w:rsid w:val="00591996"/>
    <w:rsid w:val="005936FE"/>
    <w:rsid w:val="005A1049"/>
    <w:rsid w:val="005B0AC7"/>
    <w:rsid w:val="005B166F"/>
    <w:rsid w:val="005B2936"/>
    <w:rsid w:val="005C42AD"/>
    <w:rsid w:val="005C7227"/>
    <w:rsid w:val="005C7B26"/>
    <w:rsid w:val="005F09AD"/>
    <w:rsid w:val="005F0D78"/>
    <w:rsid w:val="005F17EC"/>
    <w:rsid w:val="005F3B80"/>
    <w:rsid w:val="0060198A"/>
    <w:rsid w:val="0061253F"/>
    <w:rsid w:val="006159E3"/>
    <w:rsid w:val="00617716"/>
    <w:rsid w:val="00624CE7"/>
    <w:rsid w:val="00634259"/>
    <w:rsid w:val="006343FE"/>
    <w:rsid w:val="00637D63"/>
    <w:rsid w:val="006422E1"/>
    <w:rsid w:val="00643340"/>
    <w:rsid w:val="006615A2"/>
    <w:rsid w:val="00670C40"/>
    <w:rsid w:val="006731E8"/>
    <w:rsid w:val="0068340C"/>
    <w:rsid w:val="006877FB"/>
    <w:rsid w:val="00687853"/>
    <w:rsid w:val="006922EC"/>
    <w:rsid w:val="00694D56"/>
    <w:rsid w:val="006953E2"/>
    <w:rsid w:val="006A3BF7"/>
    <w:rsid w:val="006B3864"/>
    <w:rsid w:val="006B79FD"/>
    <w:rsid w:val="006C71D9"/>
    <w:rsid w:val="006D0E7E"/>
    <w:rsid w:val="006D4FEF"/>
    <w:rsid w:val="006D5D03"/>
    <w:rsid w:val="006D72B4"/>
    <w:rsid w:val="006E7EFD"/>
    <w:rsid w:val="006F1AF2"/>
    <w:rsid w:val="006F3D36"/>
    <w:rsid w:val="006F7C93"/>
    <w:rsid w:val="00702919"/>
    <w:rsid w:val="007034EA"/>
    <w:rsid w:val="00703BCA"/>
    <w:rsid w:val="00710277"/>
    <w:rsid w:val="00713E94"/>
    <w:rsid w:val="0071548F"/>
    <w:rsid w:val="00723339"/>
    <w:rsid w:val="0072670E"/>
    <w:rsid w:val="007327F5"/>
    <w:rsid w:val="007406E2"/>
    <w:rsid w:val="00747B99"/>
    <w:rsid w:val="0075421D"/>
    <w:rsid w:val="0076189C"/>
    <w:rsid w:val="00763418"/>
    <w:rsid w:val="00764BE8"/>
    <w:rsid w:val="00766019"/>
    <w:rsid w:val="007702F0"/>
    <w:rsid w:val="007766D6"/>
    <w:rsid w:val="00776805"/>
    <w:rsid w:val="007779F4"/>
    <w:rsid w:val="007815C1"/>
    <w:rsid w:val="007921FC"/>
    <w:rsid w:val="00795567"/>
    <w:rsid w:val="00795AA1"/>
    <w:rsid w:val="00796BC5"/>
    <w:rsid w:val="007A007E"/>
    <w:rsid w:val="007A18E8"/>
    <w:rsid w:val="007A44D9"/>
    <w:rsid w:val="007B029A"/>
    <w:rsid w:val="007B06C8"/>
    <w:rsid w:val="007B14FC"/>
    <w:rsid w:val="007B1934"/>
    <w:rsid w:val="007C4DDC"/>
    <w:rsid w:val="007D1AD6"/>
    <w:rsid w:val="007D2041"/>
    <w:rsid w:val="007E4D62"/>
    <w:rsid w:val="00800634"/>
    <w:rsid w:val="00800B3C"/>
    <w:rsid w:val="008256B8"/>
    <w:rsid w:val="00845E77"/>
    <w:rsid w:val="008572B0"/>
    <w:rsid w:val="00857917"/>
    <w:rsid w:val="008631E7"/>
    <w:rsid w:val="008706EC"/>
    <w:rsid w:val="0088474E"/>
    <w:rsid w:val="008917CA"/>
    <w:rsid w:val="00897B1C"/>
    <w:rsid w:val="008A0DA2"/>
    <w:rsid w:val="008A3551"/>
    <w:rsid w:val="008B1E7F"/>
    <w:rsid w:val="008C765A"/>
    <w:rsid w:val="008D49B8"/>
    <w:rsid w:val="008F40B2"/>
    <w:rsid w:val="00900B5F"/>
    <w:rsid w:val="0091405E"/>
    <w:rsid w:val="00931AB5"/>
    <w:rsid w:val="00937674"/>
    <w:rsid w:val="009405A9"/>
    <w:rsid w:val="00946308"/>
    <w:rsid w:val="00946AE7"/>
    <w:rsid w:val="009512F4"/>
    <w:rsid w:val="00954002"/>
    <w:rsid w:val="009640D6"/>
    <w:rsid w:val="00982770"/>
    <w:rsid w:val="009873DD"/>
    <w:rsid w:val="009920D6"/>
    <w:rsid w:val="0099319D"/>
    <w:rsid w:val="00994BBD"/>
    <w:rsid w:val="00995F08"/>
    <w:rsid w:val="00996CDD"/>
    <w:rsid w:val="00997B41"/>
    <w:rsid w:val="009A08BE"/>
    <w:rsid w:val="009A226F"/>
    <w:rsid w:val="009A22C0"/>
    <w:rsid w:val="009A26E8"/>
    <w:rsid w:val="009C1BCA"/>
    <w:rsid w:val="009C500E"/>
    <w:rsid w:val="009C5D53"/>
    <w:rsid w:val="009C7F6C"/>
    <w:rsid w:val="009D1747"/>
    <w:rsid w:val="009D3CB1"/>
    <w:rsid w:val="009D4935"/>
    <w:rsid w:val="009D5040"/>
    <w:rsid w:val="009D7B31"/>
    <w:rsid w:val="009E016A"/>
    <w:rsid w:val="009E3AFA"/>
    <w:rsid w:val="009F0CC6"/>
    <w:rsid w:val="009F355E"/>
    <w:rsid w:val="00A00B37"/>
    <w:rsid w:val="00A32D2C"/>
    <w:rsid w:val="00A36DE3"/>
    <w:rsid w:val="00A54893"/>
    <w:rsid w:val="00A569FA"/>
    <w:rsid w:val="00A63938"/>
    <w:rsid w:val="00A73CE6"/>
    <w:rsid w:val="00A77944"/>
    <w:rsid w:val="00A86A97"/>
    <w:rsid w:val="00AA527E"/>
    <w:rsid w:val="00AA6F4D"/>
    <w:rsid w:val="00AA74AE"/>
    <w:rsid w:val="00AA7676"/>
    <w:rsid w:val="00AB028D"/>
    <w:rsid w:val="00AB5D80"/>
    <w:rsid w:val="00AC1B98"/>
    <w:rsid w:val="00AC1D5A"/>
    <w:rsid w:val="00AC2350"/>
    <w:rsid w:val="00AC3C7B"/>
    <w:rsid w:val="00AC3F02"/>
    <w:rsid w:val="00AC49D9"/>
    <w:rsid w:val="00AC734B"/>
    <w:rsid w:val="00AD432C"/>
    <w:rsid w:val="00AE36DB"/>
    <w:rsid w:val="00AE7767"/>
    <w:rsid w:val="00AF08C1"/>
    <w:rsid w:val="00B0471F"/>
    <w:rsid w:val="00B14475"/>
    <w:rsid w:val="00B14F6A"/>
    <w:rsid w:val="00B27342"/>
    <w:rsid w:val="00B302A5"/>
    <w:rsid w:val="00B33097"/>
    <w:rsid w:val="00B33F93"/>
    <w:rsid w:val="00B35FBC"/>
    <w:rsid w:val="00B400D1"/>
    <w:rsid w:val="00B41037"/>
    <w:rsid w:val="00B50660"/>
    <w:rsid w:val="00B52720"/>
    <w:rsid w:val="00B70B6A"/>
    <w:rsid w:val="00B754B5"/>
    <w:rsid w:val="00B8075D"/>
    <w:rsid w:val="00B848AE"/>
    <w:rsid w:val="00B854D5"/>
    <w:rsid w:val="00B87618"/>
    <w:rsid w:val="00BA3194"/>
    <w:rsid w:val="00BA75FB"/>
    <w:rsid w:val="00BA7F0B"/>
    <w:rsid w:val="00BB4A66"/>
    <w:rsid w:val="00BB7B62"/>
    <w:rsid w:val="00BF032B"/>
    <w:rsid w:val="00C00C5C"/>
    <w:rsid w:val="00C02A9B"/>
    <w:rsid w:val="00C16636"/>
    <w:rsid w:val="00C21EFF"/>
    <w:rsid w:val="00C22120"/>
    <w:rsid w:val="00C311ED"/>
    <w:rsid w:val="00C31DCE"/>
    <w:rsid w:val="00C32A39"/>
    <w:rsid w:val="00C32A6E"/>
    <w:rsid w:val="00C32BB1"/>
    <w:rsid w:val="00C35A2B"/>
    <w:rsid w:val="00C42AF8"/>
    <w:rsid w:val="00C43F71"/>
    <w:rsid w:val="00C473F3"/>
    <w:rsid w:val="00C51B7C"/>
    <w:rsid w:val="00C55365"/>
    <w:rsid w:val="00C65173"/>
    <w:rsid w:val="00C7278A"/>
    <w:rsid w:val="00C801DA"/>
    <w:rsid w:val="00C80CE0"/>
    <w:rsid w:val="00C81CA5"/>
    <w:rsid w:val="00C838A7"/>
    <w:rsid w:val="00C8593C"/>
    <w:rsid w:val="00C86736"/>
    <w:rsid w:val="00C928C0"/>
    <w:rsid w:val="00CA16CD"/>
    <w:rsid w:val="00CA60AA"/>
    <w:rsid w:val="00CA78FD"/>
    <w:rsid w:val="00CB12F3"/>
    <w:rsid w:val="00CB2FE3"/>
    <w:rsid w:val="00CC3AFB"/>
    <w:rsid w:val="00CC401E"/>
    <w:rsid w:val="00CC4625"/>
    <w:rsid w:val="00CC69C8"/>
    <w:rsid w:val="00CD1D8E"/>
    <w:rsid w:val="00CE406E"/>
    <w:rsid w:val="00D0288D"/>
    <w:rsid w:val="00D049F3"/>
    <w:rsid w:val="00D24441"/>
    <w:rsid w:val="00D24C22"/>
    <w:rsid w:val="00D24F55"/>
    <w:rsid w:val="00D356AD"/>
    <w:rsid w:val="00D35E31"/>
    <w:rsid w:val="00D4185B"/>
    <w:rsid w:val="00D44B41"/>
    <w:rsid w:val="00D46250"/>
    <w:rsid w:val="00D53358"/>
    <w:rsid w:val="00D65CB1"/>
    <w:rsid w:val="00D67AFD"/>
    <w:rsid w:val="00D70C5C"/>
    <w:rsid w:val="00D7111C"/>
    <w:rsid w:val="00D7417D"/>
    <w:rsid w:val="00D76669"/>
    <w:rsid w:val="00D771EE"/>
    <w:rsid w:val="00D80AE7"/>
    <w:rsid w:val="00DA00C7"/>
    <w:rsid w:val="00DA3EC3"/>
    <w:rsid w:val="00DA5F48"/>
    <w:rsid w:val="00DC06B0"/>
    <w:rsid w:val="00DC17FD"/>
    <w:rsid w:val="00DC56F8"/>
    <w:rsid w:val="00DD061F"/>
    <w:rsid w:val="00DD4ADC"/>
    <w:rsid w:val="00DE36F9"/>
    <w:rsid w:val="00DE5910"/>
    <w:rsid w:val="00DE7F0B"/>
    <w:rsid w:val="00DF2145"/>
    <w:rsid w:val="00DF234C"/>
    <w:rsid w:val="00DF3ADA"/>
    <w:rsid w:val="00DF4740"/>
    <w:rsid w:val="00DF4D3C"/>
    <w:rsid w:val="00DF5BD7"/>
    <w:rsid w:val="00DF6073"/>
    <w:rsid w:val="00DF7970"/>
    <w:rsid w:val="00E11EA6"/>
    <w:rsid w:val="00E17247"/>
    <w:rsid w:val="00E26057"/>
    <w:rsid w:val="00E26F82"/>
    <w:rsid w:val="00E33E45"/>
    <w:rsid w:val="00E35B9A"/>
    <w:rsid w:val="00E41C0D"/>
    <w:rsid w:val="00E4599B"/>
    <w:rsid w:val="00E70A8B"/>
    <w:rsid w:val="00E721B1"/>
    <w:rsid w:val="00E7361C"/>
    <w:rsid w:val="00E8041E"/>
    <w:rsid w:val="00E92B1D"/>
    <w:rsid w:val="00E93348"/>
    <w:rsid w:val="00E96E09"/>
    <w:rsid w:val="00EB140E"/>
    <w:rsid w:val="00EB4B2C"/>
    <w:rsid w:val="00EC442D"/>
    <w:rsid w:val="00EC4BF6"/>
    <w:rsid w:val="00EC5D3D"/>
    <w:rsid w:val="00EC707A"/>
    <w:rsid w:val="00ED21DA"/>
    <w:rsid w:val="00ED3ABB"/>
    <w:rsid w:val="00ED4EC1"/>
    <w:rsid w:val="00ED5763"/>
    <w:rsid w:val="00ED6D4A"/>
    <w:rsid w:val="00EE3DEA"/>
    <w:rsid w:val="00EE45AC"/>
    <w:rsid w:val="00EE53A7"/>
    <w:rsid w:val="00EF2FD6"/>
    <w:rsid w:val="00EF487B"/>
    <w:rsid w:val="00F01DB0"/>
    <w:rsid w:val="00F04D14"/>
    <w:rsid w:val="00F058E1"/>
    <w:rsid w:val="00F074B1"/>
    <w:rsid w:val="00F11614"/>
    <w:rsid w:val="00F12F74"/>
    <w:rsid w:val="00F15ABB"/>
    <w:rsid w:val="00F15D83"/>
    <w:rsid w:val="00F165CA"/>
    <w:rsid w:val="00F27EE0"/>
    <w:rsid w:val="00F31EF6"/>
    <w:rsid w:val="00F32EC2"/>
    <w:rsid w:val="00F41CE6"/>
    <w:rsid w:val="00F5381F"/>
    <w:rsid w:val="00F55528"/>
    <w:rsid w:val="00F56B82"/>
    <w:rsid w:val="00F603FB"/>
    <w:rsid w:val="00F625A3"/>
    <w:rsid w:val="00F70409"/>
    <w:rsid w:val="00F738B6"/>
    <w:rsid w:val="00F81720"/>
    <w:rsid w:val="00F82433"/>
    <w:rsid w:val="00F84C40"/>
    <w:rsid w:val="00F93873"/>
    <w:rsid w:val="00F964FE"/>
    <w:rsid w:val="00F972D7"/>
    <w:rsid w:val="00FA3331"/>
    <w:rsid w:val="00FA60C0"/>
    <w:rsid w:val="00FA7519"/>
    <w:rsid w:val="00FB2432"/>
    <w:rsid w:val="00FB4B1F"/>
    <w:rsid w:val="00FB741E"/>
    <w:rsid w:val="00FC00AB"/>
    <w:rsid w:val="00FD10FC"/>
    <w:rsid w:val="00FD6FAA"/>
    <w:rsid w:val="00FD7360"/>
    <w:rsid w:val="00FE71E6"/>
    <w:rsid w:val="00FF6EB6"/>
    <w:rsid w:val="086234BC"/>
    <w:rsid w:val="0DBC4291"/>
    <w:rsid w:val="0EE32B0E"/>
    <w:rsid w:val="11474DF0"/>
    <w:rsid w:val="140856CF"/>
    <w:rsid w:val="21017A8B"/>
    <w:rsid w:val="23385B1D"/>
    <w:rsid w:val="25DE1752"/>
    <w:rsid w:val="291647DC"/>
    <w:rsid w:val="2F1715DA"/>
    <w:rsid w:val="3C0D3E66"/>
    <w:rsid w:val="3E7A14AF"/>
    <w:rsid w:val="414C5002"/>
    <w:rsid w:val="41713135"/>
    <w:rsid w:val="42ED2DE3"/>
    <w:rsid w:val="460C46CA"/>
    <w:rsid w:val="4ED010B8"/>
    <w:rsid w:val="52582DA9"/>
    <w:rsid w:val="5CE3581F"/>
    <w:rsid w:val="601C5D5C"/>
    <w:rsid w:val="674A317E"/>
    <w:rsid w:val="6B4A751E"/>
    <w:rsid w:val="6F0B0832"/>
    <w:rsid w:val="6F2D094A"/>
    <w:rsid w:val="6FB82F65"/>
    <w:rsid w:val="6FF96F24"/>
    <w:rsid w:val="73533245"/>
    <w:rsid w:val="743D7A4F"/>
    <w:rsid w:val="780A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spacing w:line="360" w:lineRule="exact"/>
      <w:jc w:val="center"/>
      <w:outlineLvl w:val="0"/>
    </w:pPr>
    <w:rPr>
      <w:b/>
      <w:bCs/>
      <w:spacing w:val="-1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Document Map"/>
    <w:basedOn w:val="1"/>
    <w:link w:val="20"/>
    <w:qFormat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21"/>
    <w:qFormat/>
    <w:uiPriority w:val="0"/>
    <w:pPr>
      <w:jc w:val="left"/>
    </w:pPr>
    <w:rPr>
      <w:szCs w:val="20"/>
    </w:rPr>
  </w:style>
  <w:style w:type="paragraph" w:styleId="6">
    <w:name w:val="Body Text"/>
    <w:basedOn w:val="1"/>
    <w:link w:val="18"/>
    <w:semiHidden/>
    <w:qFormat/>
    <w:uiPriority w:val="99"/>
    <w:pPr>
      <w:spacing w:after="120"/>
    </w:pPr>
  </w:style>
  <w:style w:type="paragraph" w:styleId="7">
    <w:name w:val="Balloon Text"/>
    <w:basedOn w:val="1"/>
    <w:link w:val="22"/>
    <w:qFormat/>
    <w:uiPriority w:val="99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34"/>
    <w:semiHidden/>
    <w:unhideWhenUsed/>
    <w:qFormat/>
    <w:uiPriority w:val="99"/>
    <w:rPr>
      <w:b/>
      <w:bCs/>
      <w:szCs w:val="21"/>
    </w:rPr>
  </w:style>
  <w:style w:type="paragraph" w:styleId="12">
    <w:name w:val="Body Text First Indent"/>
    <w:basedOn w:val="6"/>
    <w:link w:val="19"/>
    <w:semiHidden/>
    <w:qFormat/>
    <w:uiPriority w:val="99"/>
    <w:pPr>
      <w:adjustRightInd w:val="0"/>
      <w:snapToGrid w:val="0"/>
      <w:spacing w:after="0" w:line="336" w:lineRule="auto"/>
      <w:ind w:firstLine="480" w:firstLineChars="200"/>
    </w:pPr>
    <w:rPr>
      <w:rFonts w:ascii="宋体" w:hAnsi="宋体"/>
      <w:sz w:val="24"/>
      <w:szCs w:val="20"/>
    </w:rPr>
  </w:style>
  <w:style w:type="table" w:styleId="14">
    <w:name w:val="Table Grid"/>
    <w:basedOn w:val="13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qFormat/>
    <w:uiPriority w:val="0"/>
    <w:rPr>
      <w:rFonts w:cs="Times New Roman"/>
      <w:sz w:val="21"/>
    </w:rPr>
  </w:style>
  <w:style w:type="character" w:customStyle="1" w:styleId="17">
    <w:name w:val="标题 1 字符"/>
    <w:link w:val="2"/>
    <w:qFormat/>
    <w:locked/>
    <w:uiPriority w:val="99"/>
    <w:rPr>
      <w:rFonts w:ascii="Calibri" w:hAnsi="Calibri" w:eastAsia="宋体" w:cs="Times New Roman"/>
      <w:b/>
      <w:bCs/>
      <w:spacing w:val="-16"/>
      <w:sz w:val="21"/>
      <w:szCs w:val="21"/>
    </w:rPr>
  </w:style>
  <w:style w:type="character" w:customStyle="1" w:styleId="18">
    <w:name w:val="正文文本 字符"/>
    <w:link w:val="6"/>
    <w:semiHidden/>
    <w:qFormat/>
    <w:locked/>
    <w:uiPriority w:val="99"/>
    <w:rPr>
      <w:rFonts w:ascii="Calibri" w:hAnsi="Calibri" w:eastAsia="宋体" w:cs="Times New Roman"/>
      <w:kern w:val="2"/>
      <w:sz w:val="21"/>
      <w:szCs w:val="21"/>
    </w:rPr>
  </w:style>
  <w:style w:type="character" w:customStyle="1" w:styleId="19">
    <w:name w:val="正文首行缩进 字符"/>
    <w:link w:val="12"/>
    <w:semiHidden/>
    <w:qFormat/>
    <w:locked/>
    <w:uiPriority w:val="99"/>
    <w:rPr>
      <w:rFonts w:ascii="宋体" w:hAnsi="宋体" w:eastAsia="宋体" w:cs="Times New Roman"/>
      <w:kern w:val="2"/>
      <w:sz w:val="24"/>
    </w:rPr>
  </w:style>
  <w:style w:type="character" w:customStyle="1" w:styleId="20">
    <w:name w:val="文档结构图 字符"/>
    <w:link w:val="4"/>
    <w:semiHidden/>
    <w:qFormat/>
    <w:locked/>
    <w:uiPriority w:val="99"/>
    <w:rPr>
      <w:rFonts w:ascii="宋体" w:hAnsi="Calibri" w:eastAsia="宋体" w:cs="Times New Roman"/>
      <w:kern w:val="2"/>
      <w:sz w:val="18"/>
      <w:szCs w:val="18"/>
    </w:rPr>
  </w:style>
  <w:style w:type="character" w:customStyle="1" w:styleId="21">
    <w:name w:val="批注文字 字符"/>
    <w:link w:val="5"/>
    <w:qFormat/>
    <w:locked/>
    <w:uiPriority w:val="0"/>
    <w:rPr>
      <w:kern w:val="2"/>
      <w:sz w:val="21"/>
    </w:rPr>
  </w:style>
  <w:style w:type="character" w:customStyle="1" w:styleId="22">
    <w:name w:val="批注框文本 字符"/>
    <w:link w:val="7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页脚 字符"/>
    <w:link w:val="8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4">
    <w:name w:val="页眉 字符"/>
    <w:link w:val="9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</w:style>
  <w:style w:type="character" w:customStyle="1" w:styleId="26">
    <w:name w:val="正文文本 (2)_"/>
    <w:link w:val="27"/>
    <w:qFormat/>
    <w:locked/>
    <w:uiPriority w:val="99"/>
    <w:rPr>
      <w:rFonts w:ascii="宋体" w:hAnsi="宋体" w:eastAsia="宋体" w:cs="Times New Roman"/>
      <w:sz w:val="22"/>
      <w:shd w:val="clear" w:color="auto" w:fill="FFFFFF"/>
    </w:rPr>
  </w:style>
  <w:style w:type="paragraph" w:customStyle="1" w:styleId="27">
    <w:name w:val="正文文本 (2)"/>
    <w:basedOn w:val="1"/>
    <w:link w:val="26"/>
    <w:qFormat/>
    <w:uiPriority w:val="99"/>
    <w:pPr>
      <w:shd w:val="clear" w:color="auto" w:fill="FFFFFF"/>
      <w:spacing w:line="403" w:lineRule="exact"/>
      <w:ind w:hanging="240"/>
      <w:jc w:val="distribute"/>
    </w:pPr>
    <w:rPr>
      <w:rFonts w:ascii="宋体" w:hAnsi="宋体"/>
      <w:kern w:val="0"/>
      <w:sz w:val="22"/>
      <w:szCs w:val="20"/>
    </w:rPr>
  </w:style>
  <w:style w:type="character" w:customStyle="1" w:styleId="28">
    <w:name w:val="批注文字 字符1"/>
    <w:semiHidden/>
    <w:qFormat/>
    <w:uiPriority w:val="99"/>
    <w:rPr>
      <w:rFonts w:ascii="Calibri" w:hAnsi="Calibri" w:eastAsia="宋体" w:cs="Times New Roman"/>
      <w:kern w:val="2"/>
      <w:sz w:val="21"/>
      <w:szCs w:val="21"/>
    </w:rPr>
  </w:style>
  <w:style w:type="character" w:customStyle="1" w:styleId="29">
    <w:name w:val="批注文字 Char1"/>
    <w:semiHidden/>
    <w:qFormat/>
    <w:locked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30">
    <w:name w:val="正文首行缩进 Char"/>
    <w:semiHidden/>
    <w:qFormat/>
    <w:uiPriority w:val="99"/>
    <w:rPr>
      <w:rFonts w:ascii="Calibri" w:hAnsi="Calibri" w:eastAsia="宋体" w:cs="Times New Roman"/>
      <w:kern w:val="2"/>
      <w:sz w:val="21"/>
      <w:szCs w:val="21"/>
    </w:rPr>
  </w:style>
  <w:style w:type="character" w:customStyle="1" w:styleId="31">
    <w:name w:val="正文格式 Char"/>
    <w:link w:val="32"/>
    <w:qFormat/>
    <w:locked/>
    <w:uiPriority w:val="99"/>
    <w:rPr>
      <w:rFonts w:ascii="宋体" w:eastAsia="宋体"/>
      <w:sz w:val="24"/>
    </w:rPr>
  </w:style>
  <w:style w:type="paragraph" w:customStyle="1" w:styleId="32">
    <w:name w:val="正文格式"/>
    <w:basedOn w:val="1"/>
    <w:link w:val="31"/>
    <w:qFormat/>
    <w:uiPriority w:val="99"/>
    <w:pPr>
      <w:spacing w:line="360" w:lineRule="auto"/>
      <w:ind w:firstLine="482"/>
    </w:pPr>
    <w:rPr>
      <w:rFonts w:ascii="宋体" w:hAnsi="宋体"/>
      <w:kern w:val="0"/>
      <w:sz w:val="24"/>
      <w:szCs w:val="24"/>
    </w:rPr>
  </w:style>
  <w:style w:type="paragraph" w:styleId="33">
    <w:name w:val="List Paragraph"/>
    <w:basedOn w:val="1"/>
    <w:qFormat/>
    <w:uiPriority w:val="99"/>
    <w:pPr>
      <w:ind w:firstLine="420" w:firstLineChars="200"/>
    </w:pPr>
  </w:style>
  <w:style w:type="character" w:customStyle="1" w:styleId="34">
    <w:name w:val="批注主题 字符"/>
    <w:link w:val="11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52F12-37AB-4EE0-82E9-7CCB38A73F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2812</Words>
  <Characters>3199</Characters>
  <Lines>22</Lines>
  <Paragraphs>6</Paragraphs>
  <TotalTime>0</TotalTime>
  <ScaleCrop>false</ScaleCrop>
  <LinksUpToDate>false</LinksUpToDate>
  <CharactersWithSpaces>3238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2022-07-15T03:18:00Z</dcterms:created>
  <dc:creator>林福青</dc:creator>
  <cp:lastModifiedBy>杨玲珠</cp:lastModifiedBy>
  <cp:lastPrinted>2020-04-23T03:44:00Z</cp:lastPrinted>
  <dcterms:modified xsi:type="dcterms:W3CDTF">2024-09-05T07:16:00Z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7F5749B18B764CBB95F5DF205BE192B7_12</vt:lpwstr>
  </property>
</Properties>
</file>